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drawing>
          <wp:anchor behindDoc="0" distT="0" distB="0" distL="133350" distR="118110" simplePos="0" locked="0" layoutInCell="1" allowOverlap="1" relativeHeight="2">
            <wp:simplePos x="0" y="0"/>
            <wp:positionH relativeFrom="column">
              <wp:posOffset>6991985</wp:posOffset>
            </wp:positionH>
            <wp:positionV relativeFrom="paragraph">
              <wp:posOffset>66675</wp:posOffset>
            </wp:positionV>
            <wp:extent cx="1253490" cy="876935"/>
            <wp:effectExtent l="0" t="0" r="0" b="0"/>
            <wp:wrapNone/>
            <wp:docPr id="1" name="Image 11" descr="C:\Users\NAOUSTIN\Desktop\30_logoAC_VERSAILLES_128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C:\Users\NAOUSTIN\Desktop\30_logoAC_VERSAILLES_1284449.jpg"/>
                    <pic:cNvPicPr>
                      <a:picLocks noChangeAspect="1" noChangeArrowheads="1"/>
                    </pic:cNvPicPr>
                  </pic:nvPicPr>
                  <pic:blipFill>
                    <a:blip r:embed="rId2"/>
                    <a:stretch>
                      <a:fillRect/>
                    </a:stretch>
                  </pic:blipFill>
                  <pic:spPr bwMode="auto">
                    <a:xfrm>
                      <a:off x="0" y="0"/>
                      <a:ext cx="1253490" cy="876935"/>
                    </a:xfrm>
                    <a:prstGeom prst="rect">
                      <a:avLst/>
                    </a:prstGeom>
                  </pic:spPr>
                </pic:pic>
              </a:graphicData>
            </a:graphic>
          </wp:anchor>
        </w:drawing>
        <w:drawing>
          <wp:anchor behindDoc="1" distT="0" distB="0" distL="0" distR="0" simplePos="0" locked="0" layoutInCell="1" allowOverlap="1" relativeHeight="3">
            <wp:simplePos x="0" y="0"/>
            <wp:positionH relativeFrom="column">
              <wp:posOffset>4751070</wp:posOffset>
            </wp:positionH>
            <wp:positionV relativeFrom="paragraph">
              <wp:posOffset>-635</wp:posOffset>
            </wp:positionV>
            <wp:extent cx="1108710" cy="89725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108710" cy="897255"/>
                    </a:xfrm>
                    <a:prstGeom prst="rect">
                      <a:avLst/>
                    </a:prstGeom>
                  </pic:spPr>
                </pic:pic>
              </a:graphicData>
            </a:graphic>
          </wp:anchor>
        </w:drawing>
      </w:r>
    </w:p>
    <w:p>
      <w:pPr>
        <w:pStyle w:val="Corpsdetexte"/>
        <w:rPr/>
      </w:pPr>
      <w:r>
        <w:rPr/>
      </w:r>
    </w:p>
    <w:p>
      <w:pPr>
        <w:pStyle w:val="Corpsdetexte"/>
        <w:rPr/>
      </w:pPr>
      <w:r>
        <w:rPr/>
      </w:r>
    </w:p>
    <w:p>
      <w:pPr>
        <w:pStyle w:val="Titreprincipal"/>
        <w:jc w:val="center"/>
        <w:rPr/>
      </w:pPr>
      <w:r>
        <w:rPr>
          <w:sz w:val="96"/>
        </w:rPr>
        <w:t>LES VACANCES APPRENANTES</w:t>
      </w:r>
    </w:p>
    <w:tbl>
      <w:tblPr>
        <w:tblStyle w:val="Grilledutableau"/>
        <w:tblpPr w:bottomFromText="0" w:horzAnchor="margin" w:leftFromText="141" w:rightFromText="141" w:tblpX="0" w:tblpY="3187" w:topFromText="0" w:vertAnchor="text"/>
        <w:tblW w:w="22590" w:type="dxa"/>
        <w:jc w:val="left"/>
        <w:tblInd w:w="0" w:type="dxa"/>
        <w:tblCellMar>
          <w:top w:w="0" w:type="dxa"/>
          <w:left w:w="108" w:type="dxa"/>
          <w:bottom w:w="0" w:type="dxa"/>
          <w:right w:w="108" w:type="dxa"/>
        </w:tblCellMar>
        <w:tblLook w:firstRow="1" w:noVBand="1" w:lastRow="0" w:firstColumn="1" w:lastColumn="0" w:noHBand="0" w:val="04a0"/>
      </w:tblPr>
      <w:tblGrid>
        <w:gridCol w:w="4362"/>
        <w:gridCol w:w="4405"/>
        <w:gridCol w:w="4646"/>
        <w:gridCol w:w="4527"/>
        <w:gridCol w:w="4650"/>
      </w:tblGrid>
      <w:tr>
        <w:trPr/>
        <w:tc>
          <w:tcPr>
            <w:tcW w:w="4362" w:type="dxa"/>
            <w:tcBorders>
              <w:top w:val="nil"/>
              <w:left w:val="nil"/>
              <w:bottom w:val="single" w:sz="18" w:space="0" w:color="000001"/>
              <w:right w:val="single" w:sz="18" w:space="0" w:color="000001"/>
              <w:insideH w:val="single" w:sz="18" w:space="0" w:color="000001"/>
              <w:insideV w:val="single" w:sz="18" w:space="0" w:color="000001"/>
            </w:tcBorders>
            <w:shd w:fill="auto" w:val="clear"/>
            <w:vAlign w:val="center"/>
          </w:tcPr>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tc>
        <w:tc>
          <w:tcPr>
            <w:tcW w:w="4405" w:type="dxa"/>
            <w:tcBorders>
              <w:top w:val="single" w:sz="18" w:space="0" w:color="000001"/>
              <w:left w:val="single" w:sz="18" w:space="0" w:color="000001"/>
            </w:tcBorders>
            <w:shd w:color="auto" w:fill="C6D9F1" w:themeFill="text2"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ECOLE OUVERTE</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646" w:type="dxa"/>
            <w:tcBorders>
              <w:top w:val="single" w:sz="18" w:space="0" w:color="000001"/>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ECOLE OUVERTE BUISSONIERE</w:t>
            </w:r>
          </w:p>
        </w:tc>
        <w:tc>
          <w:tcPr>
            <w:tcW w:w="4527" w:type="dxa"/>
            <w:tcBorders>
              <w:top w:val="single" w:sz="18" w:space="0" w:color="000001"/>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COLOS APPRENANTES</w:t>
            </w:r>
          </w:p>
        </w:tc>
        <w:tc>
          <w:tcPr>
            <w:tcW w:w="4650" w:type="dxa"/>
            <w:tcBorders>
              <w:top w:val="single" w:sz="18" w:space="0" w:color="000001"/>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AIDE EXCEPTIONNELLE ACM</w:t>
            </w:r>
          </w:p>
        </w:tc>
      </w:tr>
      <w:tr>
        <w:trPr/>
        <w:tc>
          <w:tcPr>
            <w:tcW w:w="4362" w:type="dxa"/>
            <w:tcBorders>
              <w:top w:val="single" w:sz="18"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p>
            <w:pPr>
              <w:pStyle w:val="Normal"/>
              <w:spacing w:lineRule="auto" w:line="240" w:before="0" w:after="0"/>
              <w:jc w:val="center"/>
              <w:rPr>
                <w:rFonts w:ascii="Cambria" w:hAnsi="Cambria" w:asciiTheme="majorHAnsi" w:hAnsiTheme="majorHAnsi"/>
                <w:b/>
                <w:b/>
                <w:i/>
                <w:i/>
                <w:sz w:val="28"/>
              </w:rPr>
            </w:pPr>
            <w:r>
              <w:rPr>
                <w:rFonts w:ascii="Cambria" w:hAnsi="Cambria" w:asciiTheme="majorHAnsi" w:hAnsiTheme="majorHAnsi"/>
                <w:b/>
                <w:i/>
                <w:sz w:val="28"/>
              </w:rPr>
              <w:t>Référence juridique</w:t>
            </w:r>
          </w:p>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tc>
        <w:tc>
          <w:tcPr>
            <w:tcW w:w="4405" w:type="dxa"/>
            <w:tcBorders>
              <w:top w:val="single" w:sz="18" w:space="0" w:color="000001"/>
              <w:left w:val="double" w:sz="4" w:space="0" w:color="00000A"/>
            </w:tcBorders>
            <w:shd w:fill="auto" w:val="clear"/>
            <w:tcMar>
              <w:left w:w="63" w:type="dxa"/>
            </w:tcMar>
            <w:vAlign w:val="center"/>
          </w:tcPr>
          <w:p>
            <w:pPr>
              <w:pStyle w:val="Normal"/>
              <w:spacing w:lineRule="auto" w:line="240" w:before="0" w:after="0"/>
              <w:jc w:val="center"/>
              <w:rPr>
                <w:rFonts w:ascii="Cambria" w:hAnsi="Cambria" w:asciiTheme="majorHAnsi" w:hAnsiTheme="majorHAnsi"/>
                <w:b/>
                <w:b/>
                <w:i/>
                <w:i/>
                <w:sz w:val="24"/>
              </w:rPr>
            </w:pPr>
            <w:r>
              <w:rPr>
                <w:rFonts w:ascii="Cambria" w:hAnsi="Cambria" w:asciiTheme="majorHAnsi" w:hAnsiTheme="majorHAnsi"/>
                <w:b/>
                <w:i/>
                <w:sz w:val="24"/>
              </w:rPr>
              <w:t>ANNEXE A - Instruction vacances apprenantes - Ecole ouverte</w:t>
            </w:r>
          </w:p>
        </w:tc>
        <w:tc>
          <w:tcPr>
            <w:tcW w:w="4646" w:type="dxa"/>
            <w:tcBorders>
              <w:top w:val="single" w:sz="18" w:space="0" w:color="000001"/>
              <w:left w:val="double" w:sz="4" w:space="0" w:color="00000A"/>
              <w:right w:val="double" w:sz="4" w:space="0" w:color="00000A"/>
              <w:insideV w:val="double" w:sz="4" w:space="0" w:color="00000A"/>
            </w:tcBorders>
            <w:shd w:fill="auto" w:val="clear"/>
            <w:tcMar>
              <w:left w:w="73" w:type="dxa"/>
            </w:tcMar>
            <w:vAlign w:val="center"/>
          </w:tcPr>
          <w:p>
            <w:pPr>
              <w:pStyle w:val="Normal"/>
              <w:spacing w:lineRule="auto" w:line="240" w:before="0" w:after="0"/>
              <w:jc w:val="center"/>
              <w:rPr>
                <w:rFonts w:ascii="Cambria" w:hAnsi="Cambria" w:asciiTheme="majorHAnsi" w:hAnsiTheme="majorHAnsi"/>
                <w:b/>
                <w:b/>
                <w:i/>
                <w:i/>
                <w:sz w:val="24"/>
              </w:rPr>
            </w:pPr>
            <w:r>
              <w:rPr>
                <w:rFonts w:ascii="Cambria" w:hAnsi="Cambria" w:asciiTheme="majorHAnsi" w:hAnsiTheme="majorHAnsi"/>
                <w:b/>
                <w:i/>
                <w:sz w:val="24"/>
              </w:rPr>
              <w:t>ANNEXE A - Instruction vacances apprenantes - Ecole ouverte</w:t>
            </w:r>
          </w:p>
        </w:tc>
        <w:tc>
          <w:tcPr>
            <w:tcW w:w="4527" w:type="dxa"/>
            <w:tcBorders>
              <w:top w:val="single" w:sz="18" w:space="0" w:color="000001"/>
              <w:left w:val="double" w:sz="4" w:space="0" w:color="00000A"/>
            </w:tcBorders>
            <w:shd w:fill="auto" w:val="clear"/>
            <w:tcMar>
              <w:left w:w="63" w:type="dxa"/>
            </w:tcMar>
            <w:vAlign w:val="center"/>
          </w:tcPr>
          <w:p>
            <w:pPr>
              <w:pStyle w:val="Normal"/>
              <w:spacing w:lineRule="auto" w:line="240" w:before="0" w:after="0"/>
              <w:jc w:val="center"/>
              <w:rPr>
                <w:rFonts w:ascii="Cambria" w:hAnsi="Cambria" w:asciiTheme="majorHAnsi" w:hAnsiTheme="majorHAnsi"/>
                <w:b/>
                <w:b/>
                <w:i/>
                <w:i/>
                <w:sz w:val="24"/>
              </w:rPr>
            </w:pPr>
            <w:r>
              <w:rPr>
                <w:rFonts w:ascii="Cambria" w:hAnsi="Cambria" w:asciiTheme="majorHAnsi" w:hAnsiTheme="majorHAnsi"/>
                <w:b/>
                <w:i/>
                <w:sz w:val="24"/>
              </w:rPr>
              <w:t>ANNEXE B - Instruction Colos apprenantes</w:t>
            </w:r>
          </w:p>
        </w:tc>
        <w:tc>
          <w:tcPr>
            <w:tcW w:w="4650" w:type="dxa"/>
            <w:tcBorders>
              <w:top w:val="single" w:sz="18" w:space="0" w:color="000001"/>
              <w:left w:val="single" w:sz="18" w:space="0" w:color="000001"/>
              <w:right w:val="single" w:sz="18" w:space="0" w:color="000001"/>
              <w:insideV w:val="single" w:sz="18" w:space="0" w:color="000001"/>
            </w:tcBorders>
            <w:shd w:fill="auto" w:val="clear"/>
            <w:tcMar>
              <w:left w:w="57" w:type="dxa"/>
            </w:tcMar>
            <w:vAlign w:val="center"/>
          </w:tcPr>
          <w:p>
            <w:pPr>
              <w:pStyle w:val="Normal"/>
              <w:spacing w:lineRule="auto" w:line="240" w:before="0" w:after="0"/>
              <w:jc w:val="center"/>
              <w:rPr>
                <w:rFonts w:ascii="Cambria" w:hAnsi="Cambria" w:asciiTheme="majorHAnsi" w:hAnsiTheme="majorHAnsi"/>
                <w:b/>
                <w:b/>
                <w:i/>
                <w:i/>
                <w:sz w:val="24"/>
              </w:rPr>
            </w:pPr>
            <w:r>
              <w:rPr>
                <w:rFonts w:ascii="Cambria" w:hAnsi="Cambria" w:asciiTheme="majorHAnsi" w:hAnsiTheme="majorHAnsi"/>
                <w:b/>
                <w:i/>
                <w:sz w:val="24"/>
              </w:rPr>
              <w:t>ANNEXE B - Instruction Colos apprenantes</w:t>
            </w:r>
          </w:p>
          <w:p>
            <w:pPr>
              <w:pStyle w:val="Normal"/>
              <w:spacing w:lineRule="auto" w:line="240" w:before="0" w:after="0"/>
              <w:jc w:val="center"/>
              <w:rPr>
                <w:rFonts w:ascii="Cambria" w:hAnsi="Cambria" w:asciiTheme="majorHAnsi" w:hAnsiTheme="majorHAnsi"/>
                <w:b/>
                <w:b/>
                <w:i/>
                <w:i/>
                <w:sz w:val="24"/>
              </w:rPr>
            </w:pPr>
            <w:r>
              <w:rPr>
                <w:rFonts w:ascii="Cambria" w:hAnsi="Cambria" w:asciiTheme="majorHAnsi" w:hAnsiTheme="majorHAnsi"/>
                <w:b/>
                <w:i/>
                <w:sz w:val="24"/>
              </w:rPr>
              <w:t>Partie II, page 5</w:t>
            </w:r>
          </w:p>
        </w:tc>
      </w:tr>
      <w:tr>
        <w:trPr/>
        <w:tc>
          <w:tcPr>
            <w:tcW w:w="4362"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36"/>
              </w:rPr>
            </w:pPr>
            <w:r>
              <w:rPr>
                <w:rFonts w:ascii="Cambria" w:hAnsi="Cambria" w:asciiTheme="majorHAnsi" w:hAnsiTheme="majorHAnsi"/>
                <w:b/>
                <w:sz w:val="28"/>
              </w:rPr>
              <w:t>Cadre réglementaire</w:t>
            </w:r>
          </w:p>
        </w:tc>
        <w:tc>
          <w:tcPr>
            <w:tcW w:w="4405" w:type="dxa"/>
            <w:tcBorders>
              <w:left w:val="double" w:sz="4" w:space="0" w:color="00000A"/>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sz w:val="24"/>
              </w:rPr>
            </w:pPr>
            <w:r>
              <w:rPr>
                <w:rFonts w:ascii="Cambria" w:hAnsi="Cambria" w:asciiTheme="majorHAnsi" w:hAnsiTheme="majorHAnsi"/>
                <w:sz w:val="24"/>
              </w:rPr>
              <w:t>Code de l’Education</w:t>
            </w:r>
          </w:p>
          <w:p>
            <w:pPr>
              <w:pStyle w:val="Normal"/>
              <w:spacing w:lineRule="auto" w:line="240" w:before="0" w:after="0"/>
              <w:jc w:val="center"/>
              <w:rPr>
                <w:rFonts w:ascii="Cambria" w:hAnsi="Cambria" w:asciiTheme="majorHAnsi" w:hAnsiTheme="majorHAnsi"/>
                <w:b/>
                <w:b/>
                <w:i/>
                <w:i/>
                <w:color w:val="4F81BD" w:themeColor="accent1"/>
                <w:sz w:val="24"/>
              </w:rPr>
            </w:pPr>
            <w:r>
              <w:rPr>
                <w:rFonts w:ascii="Cambria" w:hAnsi="Cambria" w:asciiTheme="majorHAnsi" w:hAnsiTheme="majorHAnsi"/>
                <w:b/>
                <w:i/>
                <w:color w:val="4F81BD" w:themeColor="accent1"/>
                <w:sz w:val="24"/>
              </w:rPr>
              <w:t>bit.ly/CodedelEducation</w:t>
            </w:r>
          </w:p>
        </w:tc>
        <w:tc>
          <w:tcPr>
            <w:tcW w:w="4646" w:type="dxa"/>
            <w:tcBorders>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sz w:val="24"/>
              </w:rPr>
            </w:pPr>
            <w:r>
              <w:rPr>
                <w:rFonts w:ascii="Cambria" w:hAnsi="Cambria" w:asciiTheme="majorHAnsi" w:hAnsiTheme="majorHAnsi"/>
                <w:sz w:val="24"/>
              </w:rPr>
              <w:t>Code de l’Education et/ou CASF ACM en cas de délégation à une association</w:t>
            </w:r>
          </w:p>
          <w:p>
            <w:pPr>
              <w:pStyle w:val="Normal"/>
              <w:spacing w:lineRule="auto" w:line="240" w:before="0" w:after="0"/>
              <w:jc w:val="center"/>
              <w:rPr>
                <w:rFonts w:ascii="Cambria" w:hAnsi="Cambria" w:asciiTheme="majorHAnsi" w:hAnsiTheme="majorHAnsi"/>
                <w:b/>
                <w:b/>
                <w:i/>
                <w:i/>
                <w:color w:val="4F81BD" w:themeColor="accent1"/>
                <w:sz w:val="24"/>
                <w:szCs w:val="24"/>
              </w:rPr>
            </w:pPr>
            <w:r>
              <w:rPr>
                <w:rFonts w:ascii="Cambria" w:hAnsi="Cambria" w:asciiTheme="majorHAnsi" w:hAnsiTheme="majorHAnsi"/>
                <w:b/>
                <w:i/>
                <w:color w:val="4F81BD" w:themeColor="accent1"/>
                <w:sz w:val="24"/>
                <w:szCs w:val="24"/>
              </w:rPr>
              <w:t>bit.ly/CodedelEducation</w:t>
            </w:r>
          </w:p>
          <w:p>
            <w:pPr>
              <w:pStyle w:val="Normal"/>
              <w:spacing w:lineRule="auto" w:line="240" w:before="0" w:after="0"/>
              <w:jc w:val="center"/>
              <w:rPr>
                <w:rFonts w:ascii="Cambria" w:hAnsi="Cambria" w:asciiTheme="majorHAnsi" w:hAnsiTheme="majorHAnsi"/>
                <w:i/>
                <w:i/>
                <w:sz w:val="24"/>
                <w:szCs w:val="24"/>
              </w:rPr>
            </w:pPr>
            <w:r>
              <w:rPr>
                <w:rFonts w:ascii="Cambria" w:hAnsi="Cambria" w:asciiTheme="majorHAnsi" w:hAnsiTheme="majorHAnsi"/>
                <w:b/>
                <w:i/>
                <w:color w:val="4F81BD" w:themeColor="accent1"/>
                <w:sz w:val="24"/>
                <w:szCs w:val="24"/>
              </w:rPr>
              <w:t>bit.ly/CodedelActionSocialeetdesFamilles</w:t>
            </w:r>
          </w:p>
        </w:tc>
        <w:tc>
          <w:tcPr>
            <w:tcW w:w="4527" w:type="dxa"/>
            <w:tcBorders>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lineRule="auto" w:line="240" w:before="0" w:after="0"/>
              <w:jc w:val="center"/>
              <w:rPr>
                <w:rFonts w:ascii="Cambria" w:hAnsi="Cambria" w:asciiTheme="majorHAnsi" w:hAnsiTheme="majorHAnsi"/>
                <w:sz w:val="24"/>
              </w:rPr>
            </w:pPr>
            <w:r>
              <w:rPr>
                <w:rFonts w:ascii="Cambria" w:hAnsi="Cambria" w:asciiTheme="majorHAnsi" w:hAnsiTheme="majorHAnsi"/>
                <w:sz w:val="24"/>
              </w:rPr>
              <w:t>CASF ACM</w:t>
            </w:r>
          </w:p>
          <w:p>
            <w:pPr>
              <w:pStyle w:val="Normal"/>
              <w:spacing w:lineRule="auto" w:line="240" w:before="0" w:after="0"/>
              <w:jc w:val="center"/>
              <w:rPr>
                <w:rFonts w:ascii="Cambria" w:hAnsi="Cambria" w:asciiTheme="majorHAnsi" w:hAnsiTheme="majorHAnsi"/>
                <w:i/>
                <w:i/>
                <w:sz w:val="24"/>
              </w:rPr>
            </w:pPr>
            <w:r>
              <w:rPr>
                <w:rFonts w:ascii="Cambria" w:hAnsi="Cambria" w:asciiTheme="majorHAnsi" w:hAnsiTheme="majorHAnsi"/>
                <w:i/>
                <w:sz w:val="24"/>
              </w:rPr>
              <w:t>bit.ly/CodedelActionSocialeetdesFamilles</w:t>
            </w:r>
          </w:p>
          <w:p>
            <w:pPr>
              <w:pStyle w:val="Normal"/>
              <w:spacing w:lineRule="auto" w:line="240" w:before="0" w:after="0"/>
              <w:jc w:val="center"/>
              <w:rPr>
                <w:rFonts w:ascii="Cambria" w:hAnsi="Cambria" w:asciiTheme="majorHAnsi" w:hAnsiTheme="majorHAnsi"/>
                <w:i/>
                <w:i/>
                <w:sz w:val="24"/>
              </w:rPr>
            </w:pPr>
            <w:r>
              <w:rPr>
                <w:rFonts w:asciiTheme="majorHAnsi" w:hAnsiTheme="majorHAnsi" w:ascii="Cambria" w:hAnsi="Cambria"/>
                <w:i/>
                <w:sz w:val="24"/>
              </w:rPr>
            </w:r>
          </w:p>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i/>
              </w:rPr>
              <w:t xml:space="preserve">Le décret n° 2020-663 du 31 mai 2020 prescrivant les mesures générales nécessaires pour faire face à l'épidémie de covid-19 </w:t>
            </w:r>
            <w:r>
              <w:rPr>
                <w:rFonts w:ascii="Cambria" w:hAnsi="Cambria" w:asciiTheme="majorHAnsi" w:hAnsiTheme="majorHAnsi"/>
                <w:i/>
                <w:u w:val="single"/>
              </w:rPr>
              <w:t>sera modifié afin de permettre la reprise d’activité des accueils avec hébergement à partir du 22 juin prochain</w:t>
            </w:r>
            <w:r>
              <w:rPr>
                <w:rFonts w:ascii="Cambria" w:hAnsi="Cambria" w:asciiTheme="majorHAnsi" w:hAnsiTheme="majorHAnsi"/>
                <w:i/>
              </w:rPr>
              <w:t>.</w:t>
            </w:r>
          </w:p>
          <w:p>
            <w:pPr>
              <w:pStyle w:val="Normal"/>
              <w:spacing w:lineRule="auto" w:line="240" w:before="0" w:after="0"/>
              <w:jc w:val="center"/>
              <w:rPr>
                <w:rFonts w:ascii="Cambria" w:hAnsi="Cambria" w:asciiTheme="majorHAnsi" w:hAnsiTheme="majorHAnsi"/>
                <w:i/>
                <w:i/>
                <w:sz w:val="24"/>
              </w:rPr>
            </w:pPr>
            <w:r>
              <w:rPr>
                <w:rFonts w:asciiTheme="majorHAnsi" w:hAnsiTheme="majorHAnsi" w:ascii="Cambria" w:hAnsi="Cambria"/>
                <w:i/>
                <w:sz w:val="24"/>
              </w:rPr>
            </w:r>
          </w:p>
        </w:tc>
        <w:tc>
          <w:tcPr>
            <w:tcW w:w="4650" w:type="dxa"/>
            <w:tcBorders>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sz w:val="24"/>
              </w:rPr>
            </w:pPr>
            <w:r>
              <w:rPr>
                <w:rFonts w:ascii="Cambria" w:hAnsi="Cambria" w:asciiTheme="majorHAnsi" w:hAnsiTheme="majorHAnsi"/>
                <w:sz w:val="24"/>
              </w:rPr>
              <w:t>CASF ACM</w:t>
            </w:r>
          </w:p>
          <w:p>
            <w:pPr>
              <w:pStyle w:val="Normal"/>
              <w:spacing w:lineRule="auto" w:line="240" w:before="0" w:after="0"/>
              <w:jc w:val="center"/>
              <w:rPr>
                <w:rFonts w:ascii="Cambria" w:hAnsi="Cambria" w:asciiTheme="majorHAnsi" w:hAnsiTheme="majorHAnsi"/>
                <w:b/>
                <w:b/>
                <w:i/>
                <w:i/>
                <w:color w:val="4F81BD" w:themeColor="accent1"/>
                <w:sz w:val="24"/>
              </w:rPr>
            </w:pPr>
            <w:r>
              <w:rPr>
                <w:rFonts w:ascii="Cambria" w:hAnsi="Cambria" w:asciiTheme="majorHAnsi" w:hAnsiTheme="majorHAnsi"/>
                <w:b/>
                <w:i/>
                <w:color w:val="4F81BD" w:themeColor="accent1"/>
                <w:sz w:val="24"/>
              </w:rPr>
              <w:t>bit.ly/CodedelActionSocialeetdesFamilles</w:t>
            </w:r>
          </w:p>
        </w:tc>
      </w:tr>
      <w:tr>
        <w:trPr>
          <w:trHeight w:val="829" w:hRule="atLeast"/>
        </w:trPr>
        <w:tc>
          <w:tcPr>
            <w:tcW w:w="4362"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32"/>
              </w:rPr>
            </w:pPr>
            <w:r>
              <w:rPr>
                <w:rFonts w:asciiTheme="majorHAnsi" w:hAnsiTheme="majorHAnsi" w:ascii="Cambria" w:hAnsi="Cambria"/>
                <w:b/>
                <w:sz w:val="32"/>
              </w:rPr>
            </w:r>
          </w:p>
          <w:p>
            <w:pPr>
              <w:pStyle w:val="Normal"/>
              <w:spacing w:lineRule="auto" w:line="240" w:before="0" w:after="0"/>
              <w:jc w:val="center"/>
              <w:rPr>
                <w:rFonts w:ascii="Cambria" w:hAnsi="Cambria" w:asciiTheme="majorHAnsi" w:hAnsiTheme="majorHAnsi"/>
                <w:b/>
                <w:b/>
                <w:sz w:val="32"/>
              </w:rPr>
            </w:pPr>
            <w:r>
              <w:rPr>
                <w:rFonts w:ascii="Cambria" w:hAnsi="Cambria" w:asciiTheme="majorHAnsi" w:hAnsiTheme="majorHAnsi"/>
                <w:b/>
                <w:sz w:val="32"/>
              </w:rPr>
              <w:t>Pilotage</w:t>
            </w:r>
          </w:p>
          <w:p>
            <w:pPr>
              <w:pStyle w:val="Normal"/>
              <w:spacing w:lineRule="auto" w:line="240" w:before="0" w:after="0"/>
              <w:jc w:val="center"/>
              <w:rPr>
                <w:rFonts w:ascii="Cambria" w:hAnsi="Cambria" w:asciiTheme="majorHAnsi" w:hAnsiTheme="majorHAnsi"/>
                <w:b/>
                <w:b/>
                <w:sz w:val="32"/>
              </w:rPr>
            </w:pPr>
            <w:r>
              <w:rPr>
                <w:rFonts w:asciiTheme="majorHAnsi" w:hAnsiTheme="majorHAnsi" w:ascii="Cambria" w:hAnsi="Cambria"/>
                <w:b/>
                <w:sz w:val="32"/>
              </w:rPr>
            </w:r>
          </w:p>
        </w:tc>
        <w:tc>
          <w:tcPr>
            <w:tcW w:w="4405" w:type="dxa"/>
            <w:tcBorders>
              <w:left w:val="double" w:sz="4" w:space="0" w:color="00000A"/>
            </w:tcBorders>
            <w:shd w:fill="auto" w:val="clear"/>
            <w:tcMar>
              <w:left w:w="63" w:type="dxa"/>
            </w:tcMar>
            <w:vAlign w:val="center"/>
          </w:tcPr>
          <w:p>
            <w:pPr>
              <w:pStyle w:val="Normal"/>
              <w:spacing w:lineRule="auto" w:line="240" w:before="0" w:after="0"/>
              <w:jc w:val="center"/>
              <w:rPr>
                <w:rFonts w:ascii="Cambria" w:hAnsi="Cambria" w:asciiTheme="majorHAnsi" w:hAnsiTheme="majorHAnsi"/>
                <w:sz w:val="28"/>
              </w:rPr>
            </w:pPr>
            <w:r>
              <w:rPr>
                <w:rFonts w:ascii="Cambria" w:hAnsi="Cambria" w:asciiTheme="majorHAnsi" w:hAnsiTheme="majorHAnsi"/>
                <w:sz w:val="28"/>
              </w:rPr>
              <w:t>DSDEN, Préfecture (DDCS)</w:t>
            </w:r>
          </w:p>
        </w:tc>
        <w:tc>
          <w:tcPr>
            <w:tcW w:w="4646" w:type="dxa"/>
            <w:tcBorders>
              <w:left w:val="double" w:sz="4" w:space="0" w:color="00000A"/>
              <w:right w:val="double" w:sz="4" w:space="0" w:color="00000A"/>
              <w:insideV w:val="double" w:sz="4" w:space="0" w:color="00000A"/>
            </w:tcBorders>
            <w:shd w:fill="auto" w:val="clear"/>
            <w:tcMar>
              <w:left w:w="73" w:type="dxa"/>
            </w:tcMar>
            <w:vAlign w:val="center"/>
          </w:tcPr>
          <w:p>
            <w:pPr>
              <w:pStyle w:val="Normal"/>
              <w:spacing w:lineRule="auto" w:line="240" w:before="0" w:after="0"/>
              <w:jc w:val="center"/>
              <w:rPr>
                <w:rFonts w:ascii="Cambria" w:hAnsi="Cambria" w:asciiTheme="majorHAnsi" w:hAnsiTheme="majorHAnsi"/>
                <w:i/>
                <w:i/>
                <w:sz w:val="28"/>
              </w:rPr>
            </w:pPr>
            <w:r>
              <w:rPr>
                <w:rFonts w:ascii="Cambria" w:hAnsi="Cambria" w:asciiTheme="majorHAnsi" w:hAnsiTheme="majorHAnsi"/>
                <w:sz w:val="28"/>
              </w:rPr>
              <w:t>DSDEN, Préfecture (DDCS)</w:t>
            </w:r>
          </w:p>
        </w:tc>
        <w:tc>
          <w:tcPr>
            <w:tcW w:w="4527" w:type="dxa"/>
            <w:tcBorders>
              <w:left w:val="double" w:sz="4" w:space="0" w:color="00000A"/>
            </w:tcBorders>
            <w:shd w:fill="auto" w:val="clear"/>
            <w:tcMar>
              <w:left w:w="63" w:type="dxa"/>
            </w:tcMar>
            <w:vAlign w:val="center"/>
          </w:tcPr>
          <w:p>
            <w:pPr>
              <w:pStyle w:val="Normal"/>
              <w:spacing w:lineRule="auto" w:line="240" w:before="0" w:after="0"/>
              <w:jc w:val="center"/>
              <w:rPr>
                <w:rFonts w:ascii="Cambria" w:hAnsi="Cambria" w:asciiTheme="majorHAnsi" w:hAnsiTheme="majorHAnsi"/>
                <w:sz w:val="28"/>
              </w:rPr>
            </w:pPr>
            <w:r>
              <w:rPr>
                <w:rFonts w:ascii="Cambria" w:hAnsi="Cambria" w:asciiTheme="majorHAnsi" w:hAnsiTheme="majorHAnsi"/>
                <w:sz w:val="28"/>
              </w:rPr>
              <w:t>Préfecture (DDCS) et  IA-DASEN</w:t>
            </w:r>
          </w:p>
        </w:tc>
        <w:tc>
          <w:tcPr>
            <w:tcW w:w="4650" w:type="dxa"/>
            <w:tcBorders>
              <w:left w:val="single" w:sz="18" w:space="0" w:color="000001"/>
              <w:right w:val="single" w:sz="18" w:space="0" w:color="000001"/>
              <w:insideV w:val="single" w:sz="18" w:space="0" w:color="000001"/>
            </w:tcBorders>
            <w:shd w:fill="auto" w:val="clear"/>
            <w:tcMar>
              <w:left w:w="57" w:type="dxa"/>
            </w:tcMar>
            <w:vAlign w:val="center"/>
          </w:tcPr>
          <w:p>
            <w:pPr>
              <w:pStyle w:val="Normal"/>
              <w:spacing w:lineRule="auto" w:line="240" w:before="0" w:after="0"/>
              <w:jc w:val="center"/>
              <w:rPr>
                <w:rFonts w:ascii="Cambria" w:hAnsi="Cambria" w:asciiTheme="majorHAnsi" w:hAnsiTheme="majorHAnsi"/>
                <w:sz w:val="28"/>
              </w:rPr>
            </w:pPr>
            <w:r>
              <w:rPr>
                <w:rFonts w:ascii="Cambria" w:hAnsi="Cambria" w:asciiTheme="majorHAnsi" w:hAnsiTheme="majorHAnsi"/>
                <w:sz w:val="28"/>
              </w:rPr>
              <w:t>Préfecture (DDCS) et  IA-DASEN</w:t>
            </w:r>
          </w:p>
        </w:tc>
      </w:tr>
      <w:tr>
        <w:trPr/>
        <w:tc>
          <w:tcPr>
            <w:tcW w:w="4362"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Opérateurs</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405" w:type="dxa"/>
            <w:tcBorders>
              <w:left w:val="double" w:sz="4" w:space="0" w:color="00000A"/>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sz w:val="28"/>
              </w:rPr>
            </w:pPr>
            <w:r>
              <w:rPr>
                <w:rFonts w:ascii="Cambria" w:hAnsi="Cambria" w:asciiTheme="majorHAnsi" w:hAnsiTheme="majorHAnsi"/>
                <w:sz w:val="28"/>
              </w:rPr>
              <w:t>Ecoles et EPLE dont les lycées professionnels (dispositif « l’Eté du Pro »)</w:t>
            </w:r>
          </w:p>
        </w:tc>
        <w:tc>
          <w:tcPr>
            <w:tcW w:w="4646" w:type="dxa"/>
            <w:tcBorders>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i/>
                <w:i/>
                <w:sz w:val="28"/>
              </w:rPr>
            </w:pPr>
            <w:r>
              <w:rPr>
                <w:rFonts w:ascii="Cambria" w:hAnsi="Cambria" w:asciiTheme="majorHAnsi" w:hAnsiTheme="majorHAnsi"/>
                <w:sz w:val="28"/>
              </w:rPr>
              <w:t>Ecoles, EPLE dont les lycées professionnels et associations organisatrices d’ACM avec hébergement</w:t>
            </w:r>
          </w:p>
        </w:tc>
        <w:tc>
          <w:tcPr>
            <w:tcW w:w="4527" w:type="dxa"/>
            <w:tcBorders>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Les associations, les collectivités territoriales, les comités d’entreprise, des</w:t>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structures marchandes</w:t>
            </w:r>
          </w:p>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rPr>
              <w:t>(c</w:t>
            </w:r>
            <w:r>
              <w:rPr>
                <w:rFonts w:ascii="Cambria" w:hAnsi="Cambria" w:asciiTheme="majorHAnsi" w:hAnsiTheme="majorHAnsi"/>
                <w:i/>
              </w:rPr>
              <w:t>onventionnement entre l’Etat et la collectivité, lui permettant de financer directement un séjour labellisé ou de s’inscrire à une colonie labellisée proposée par un organisateur de séjours).</w:t>
            </w:r>
          </w:p>
          <w:p>
            <w:pPr>
              <w:pStyle w:val="Normal"/>
              <w:spacing w:lineRule="auto" w:line="240" w:before="0" w:after="0"/>
              <w:jc w:val="center"/>
              <w:rPr>
                <w:rFonts w:ascii="Cambria" w:hAnsi="Cambria" w:asciiTheme="majorHAnsi" w:hAnsiTheme="majorHAnsi"/>
                <w:i/>
                <w:i/>
              </w:rPr>
            </w:pPr>
            <w:r>
              <w:rPr>
                <w:rFonts w:asciiTheme="majorHAnsi" w:hAnsiTheme="majorHAnsi" w:ascii="Cambria" w:hAnsi="Cambria"/>
                <w:i/>
              </w:rPr>
            </w:r>
          </w:p>
        </w:tc>
        <w:tc>
          <w:tcPr>
            <w:tcW w:w="4650" w:type="dxa"/>
            <w:tcBorders>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rPr>
            </w:pPr>
            <w:r>
              <w:rPr>
                <w:rFonts w:ascii="Cambria" w:hAnsi="Cambria" w:asciiTheme="majorHAnsi" w:hAnsiTheme="majorHAnsi"/>
                <w:sz w:val="28"/>
              </w:rPr>
              <w:t>Collectivités territoriales et associations organisateurs d’ACM</w:t>
            </w:r>
          </w:p>
        </w:tc>
      </w:tr>
      <w:tr>
        <w:trPr/>
        <w:tc>
          <w:tcPr>
            <w:tcW w:w="4362" w:type="dxa"/>
            <w:tcBorders>
              <w:top w:val="single" w:sz="2" w:space="0" w:color="000001"/>
              <w:left w:val="single" w:sz="18" w:space="0" w:color="000001"/>
              <w:bottom w:val="single" w:sz="18" w:space="0" w:color="000001"/>
              <w:right w:val="double" w:sz="4" w:space="0" w:color="00000A"/>
              <w:insideH w:val="single" w:sz="18"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p>
            <w:pPr>
              <w:pStyle w:val="Normal"/>
              <w:spacing w:lineRule="auto" w:line="240" w:before="0" w:after="0"/>
              <w:jc w:val="center"/>
              <w:rPr>
                <w:rFonts w:ascii="Cambria" w:hAnsi="Cambria" w:asciiTheme="majorHAnsi" w:hAnsiTheme="majorHAnsi"/>
                <w:b/>
                <w:b/>
                <w:i/>
                <w:i/>
                <w:sz w:val="28"/>
              </w:rPr>
            </w:pPr>
            <w:r>
              <w:rPr>
                <w:rFonts w:ascii="Cambria" w:hAnsi="Cambria" w:asciiTheme="majorHAnsi" w:hAnsiTheme="majorHAnsi"/>
                <w:b/>
                <w:i/>
                <w:sz w:val="28"/>
              </w:rPr>
              <w:t>Partenaires potentiels</w:t>
            </w:r>
          </w:p>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tc>
        <w:tc>
          <w:tcPr>
            <w:tcW w:w="4405" w:type="dxa"/>
            <w:tcBorders>
              <w:top w:val="single" w:sz="18" w:space="0" w:color="000001"/>
              <w:left w:val="double" w:sz="4" w:space="0" w:color="00000A"/>
              <w:bottom w:val="single" w:sz="18" w:space="0" w:color="000001"/>
              <w:insideH w:val="single" w:sz="18" w:space="0" w:color="000001"/>
            </w:tcBorders>
            <w:shd w:fill="auto" w:val="clear"/>
            <w:tcMar>
              <w:left w:w="63" w:type="dxa"/>
            </w:tcMar>
            <w:vAlign w:val="center"/>
          </w:tcPr>
          <w:p>
            <w:pPr>
              <w:pStyle w:val="Normal"/>
              <w:spacing w:lineRule="auto" w:line="240" w:before="0" w:after="0"/>
              <w:jc w:val="center"/>
              <w:rPr>
                <w:rFonts w:ascii="Cambria" w:hAnsi="Cambria" w:asciiTheme="majorHAnsi" w:hAnsiTheme="majorHAnsi"/>
                <w:i/>
                <w:i/>
              </w:rPr>
            </w:pPr>
            <w:r>
              <w:rPr>
                <w:rFonts w:asciiTheme="majorHAnsi" w:hAnsiTheme="majorHAnsi" w:ascii="Cambria" w:hAnsi="Cambria"/>
                <w:i/>
              </w:rPr>
            </w:r>
          </w:p>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i/>
              </w:rPr>
              <w:t>Collectivités territoriales, DRAC, CAF, associations d’Education Populaire et de jeunesse, fédération sportives, les acteurs du service public de l’orientation et de l’insertion professionnelle, fédérations de parents d’élèves</w:t>
            </w:r>
          </w:p>
          <w:p>
            <w:pPr>
              <w:pStyle w:val="Normal"/>
              <w:spacing w:lineRule="auto" w:line="240" w:before="0" w:after="0"/>
              <w:jc w:val="center"/>
              <w:rPr>
                <w:rFonts w:ascii="Cambria" w:hAnsi="Cambria" w:asciiTheme="majorHAnsi" w:hAnsiTheme="majorHAnsi"/>
                <w:i/>
                <w:i/>
              </w:rPr>
            </w:pPr>
            <w:r>
              <w:rPr>
                <w:rFonts w:asciiTheme="majorHAnsi" w:hAnsiTheme="majorHAnsi" w:ascii="Cambria" w:hAnsi="Cambria"/>
                <w:i/>
              </w:rPr>
            </w:r>
          </w:p>
        </w:tc>
        <w:tc>
          <w:tcPr>
            <w:tcW w:w="4646" w:type="dxa"/>
            <w:tcBorders>
              <w:top w:val="single" w:sz="18" w:space="0" w:color="000001"/>
              <w:left w:val="double" w:sz="4" w:space="0" w:color="00000A"/>
              <w:bottom w:val="single" w:sz="18" w:space="0" w:color="000001"/>
              <w:right w:val="double" w:sz="4" w:space="0" w:color="00000A"/>
              <w:insideH w:val="single" w:sz="18" w:space="0" w:color="000001"/>
              <w:insideV w:val="double" w:sz="4" w:space="0" w:color="00000A"/>
            </w:tcBorders>
            <w:shd w:fill="auto" w:val="clear"/>
            <w:tcMar>
              <w:left w:w="73" w:type="dxa"/>
            </w:tcMar>
            <w:vAlign w:val="center"/>
          </w:tcPr>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i/>
              </w:rPr>
              <w:t>Collectivités territoriales, DRAC, CAF, associations d’Education Populaire et de jeunesse, fédération sportives, les acteurs du service public de l’orientation et de l’insertion professionnelle, fédérations de parents d’élèves</w:t>
            </w:r>
          </w:p>
        </w:tc>
        <w:tc>
          <w:tcPr>
            <w:tcW w:w="4527" w:type="dxa"/>
            <w:tcBorders>
              <w:top w:val="single" w:sz="18" w:space="0" w:color="000001"/>
              <w:left w:val="double" w:sz="4" w:space="0" w:color="00000A"/>
              <w:bottom w:val="single" w:sz="18" w:space="0" w:color="000001"/>
              <w:insideH w:val="single" w:sz="18" w:space="0" w:color="000001"/>
            </w:tcBorders>
            <w:shd w:fill="auto" w:val="clear"/>
            <w:tcMar>
              <w:left w:w="63" w:type="dxa"/>
            </w:tcMar>
            <w:vAlign w:val="center"/>
          </w:tcPr>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i/>
              </w:rPr>
              <w:t>Comité de labellisation peut associer : CAF, Conseil Départemental (ASE), représentants des maires, de parents et d’associations, services de PRE et coordonnateur cité éducative</w:t>
            </w:r>
          </w:p>
        </w:tc>
        <w:tc>
          <w:tcPr>
            <w:tcW w:w="465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57" w:type="dxa"/>
            </w:tcMar>
            <w:vAlign w:val="center"/>
          </w:tcPr>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i/>
              </w:rPr>
              <w:t>Associations d’Education Populaire et de jeunesse, fédération sportives, etc.</w:t>
            </w:r>
          </w:p>
        </w:tc>
      </w:tr>
    </w:tbl>
    <w:p>
      <w:pPr>
        <w:pStyle w:val="Titreprincipal"/>
        <w:jc w:val="center"/>
        <w:rPr>
          <w:sz w:val="96"/>
        </w:rPr>
      </w:pPr>
      <w:r>
        <w:rPr>
          <w:sz w:val="96"/>
        </w:rPr>
      </w:r>
    </w:p>
    <w:tbl>
      <w:tblPr>
        <w:tblStyle w:val="Grilledutableau"/>
        <w:tblpPr w:bottomFromText="0" w:horzAnchor="text" w:leftFromText="141" w:rightFromText="141" w:tblpX="0" w:tblpY="-470" w:topFromText="0" w:vertAnchor="text"/>
        <w:tblW w:w="22551" w:type="dxa"/>
        <w:jc w:val="left"/>
        <w:tblInd w:w="0" w:type="dxa"/>
        <w:tblCellMar>
          <w:top w:w="0" w:type="dxa"/>
          <w:left w:w="39" w:type="dxa"/>
          <w:bottom w:w="0" w:type="dxa"/>
          <w:right w:w="108" w:type="dxa"/>
        </w:tblCellMar>
        <w:tblLook w:firstRow="1" w:noVBand="1" w:lastRow="0" w:firstColumn="1" w:lastColumn="0" w:noHBand="0" w:val="04a0"/>
      </w:tblPr>
      <w:tblGrid>
        <w:gridCol w:w="4501"/>
        <w:gridCol w:w="4503"/>
        <w:gridCol w:w="4504"/>
        <w:gridCol w:w="4539"/>
        <w:gridCol w:w="4504"/>
      </w:tblGrid>
      <w:tr>
        <w:trPr>
          <w:trHeight w:val="703" w:hRule="atLeast"/>
        </w:trPr>
        <w:tc>
          <w:tcPr>
            <w:tcW w:w="4501" w:type="dxa"/>
            <w:tcBorders>
              <w:top w:val="single" w:sz="18"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tc>
        <w:tc>
          <w:tcPr>
            <w:tcW w:w="4503" w:type="dxa"/>
            <w:tcBorders>
              <w:top w:val="single" w:sz="18" w:space="0" w:color="000001"/>
              <w:left w:val="double" w:sz="4" w:space="0" w:color="00000A"/>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ECOLE OUVERTE</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504" w:type="dxa"/>
            <w:tcBorders>
              <w:top w:val="single" w:sz="18" w:space="0" w:color="000001"/>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ECOLE OUVERTE BUISSONIERE</w:t>
            </w:r>
          </w:p>
        </w:tc>
        <w:tc>
          <w:tcPr>
            <w:tcW w:w="4539" w:type="dxa"/>
            <w:tcBorders>
              <w:top w:val="single" w:sz="18" w:space="0" w:color="000001"/>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COLOS APPRENANTES</w:t>
            </w:r>
          </w:p>
        </w:tc>
        <w:tc>
          <w:tcPr>
            <w:tcW w:w="4504" w:type="dxa"/>
            <w:tcBorders>
              <w:top w:val="single" w:sz="18" w:space="0" w:color="000001"/>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AIDE EXCEPTIONNELLE ACM</w:t>
            </w:r>
          </w:p>
        </w:tc>
      </w:tr>
      <w:tr>
        <w:trPr/>
        <w:tc>
          <w:tcPr>
            <w:tcW w:w="4501"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Public cible</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503"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Elèves du CP à la terminale avec une  attention renforcée aux lycées professionnels. En priorité aux écoles et établissements des REP, en QPV, en zones rurales et dans les territoires fragilisés par la crise sanitaire et ses conséquences économiques.</w:t>
            </w:r>
          </w:p>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Groupes inférieurs à 30 enfants.</w:t>
            </w:r>
          </w:p>
        </w:tc>
        <w:tc>
          <w:tcPr>
            <w:tcW w:w="4504" w:type="dxa"/>
            <w:tcBorders>
              <w:left w:val="double" w:sz="4" w:space="0" w:color="00000A"/>
              <w:right w:val="double" w:sz="4" w:space="0" w:color="00000A"/>
              <w:insideV w:val="double" w:sz="4" w:space="0" w:color="00000A"/>
            </w:tcBorders>
            <w:shd w:color="auto" w:fill="FFFFFF" w:themeFill="background1" w:val="clear"/>
            <w:tcMar>
              <w:left w:w="73" w:type="dxa"/>
            </w:tcMar>
            <w:vAlign w:val="center"/>
          </w:tcPr>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Avec l’objectif de découvrir un territoire différents aux jeunes, en zone rurale notamment.</w:t>
            </w:r>
          </w:p>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Elèves du CP à la terminale avec une  attention renforcée aux lycées professionnels. En priorité aux écoles et établissements des REP, en QPV, en zones rurales et dans les territoires fragilisés par la crise sanitaire et ses conséquences économiques.</w:t>
            </w:r>
          </w:p>
          <w:p>
            <w:pPr>
              <w:pStyle w:val="Normal"/>
              <w:spacing w:lineRule="auto" w:line="240" w:before="0" w:after="0"/>
              <w:jc w:val="center"/>
              <w:rPr>
                <w:rFonts w:ascii="Cambria" w:hAnsi="Cambria" w:asciiTheme="majorHAnsi" w:hAnsiTheme="majorHAnsi"/>
                <w:i/>
                <w:i/>
                <w:sz w:val="20"/>
              </w:rPr>
            </w:pPr>
            <w:r>
              <w:rPr>
                <w:rFonts w:asciiTheme="majorHAnsi" w:hAnsiTheme="majorHAnsi" w:ascii="Cambria" w:hAnsi="Cambria"/>
                <w:i/>
                <w:sz w:val="20"/>
              </w:rPr>
            </w:r>
          </w:p>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sz w:val="20"/>
              </w:rPr>
              <w:t>Groupes inférieurs à 30 enfants.</w:t>
            </w:r>
          </w:p>
          <w:p>
            <w:pPr>
              <w:pStyle w:val="Normal"/>
              <w:spacing w:lineRule="auto" w:line="240" w:before="0" w:after="0"/>
              <w:jc w:val="center"/>
              <w:rPr>
                <w:rFonts w:ascii="Cambria" w:hAnsi="Cambria" w:asciiTheme="majorHAnsi" w:hAnsiTheme="majorHAnsi"/>
                <w:i/>
                <w:i/>
                <w:sz w:val="20"/>
              </w:rPr>
            </w:pPr>
            <w:r>
              <w:rPr>
                <w:rFonts w:asciiTheme="majorHAnsi" w:hAnsiTheme="majorHAnsi" w:ascii="Cambria" w:hAnsi="Cambria"/>
                <w:i/>
                <w:sz w:val="20"/>
              </w:rPr>
            </w:r>
          </w:p>
        </w:tc>
        <w:tc>
          <w:tcPr>
            <w:tcW w:w="4539"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Elèves de 3 à 17 ans, en priorité dans les QPV, zones rurales, issus de familles isolées ou monoparentales ou en situation socio-économique précaire. Les enfants en situation de handicap, les enfants de personnels indispensables à la gestion de la crise ou encore les enfants ayant perdu le lien avec l’école et ceux accompagnés par la protection de l’enfance.</w:t>
            </w:r>
          </w:p>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Mixité des publics avec une cible de 50% de filles parmi les bénéficiaires.</w:t>
            </w:r>
          </w:p>
          <w:p>
            <w:pPr>
              <w:pStyle w:val="Normal"/>
              <w:spacing w:lineRule="auto" w:line="240" w:before="0" w:after="0"/>
              <w:jc w:val="center"/>
              <w:rPr>
                <w:rFonts w:ascii="Cambria" w:hAnsi="Cambria" w:asciiTheme="majorHAnsi" w:hAnsiTheme="majorHAnsi"/>
                <w:sz w:val="20"/>
              </w:rPr>
            </w:pPr>
            <w:r>
              <w:rPr>
                <w:rFonts w:asciiTheme="majorHAnsi" w:hAnsiTheme="majorHAnsi" w:ascii="Cambria" w:hAnsi="Cambria"/>
                <w:sz w:val="20"/>
              </w:rPr>
            </w:r>
          </w:p>
        </w:tc>
        <w:tc>
          <w:tcPr>
            <w:tcW w:w="4504" w:type="dxa"/>
            <w:tcBorders>
              <w:left w:val="single" w:sz="18" w:space="0" w:color="000001"/>
              <w:right w:val="single" w:sz="18" w:space="0" w:color="000001"/>
              <w:insideV w:val="single" w:sz="18" w:space="0" w:color="000001"/>
            </w:tcBorders>
            <w:shd w:color="auto" w:fill="FFFFFF" w:themeFill="background1" w:val="clear"/>
            <w:tcMar>
              <w:left w:w="57" w:type="dxa"/>
            </w:tcMar>
            <w:vAlign w:val="center"/>
          </w:tcPr>
          <w:p>
            <w:pPr>
              <w:pStyle w:val="Normal"/>
              <w:spacing w:lineRule="auto" w:line="240" w:before="0" w:after="0"/>
              <w:jc w:val="center"/>
              <w:rPr>
                <w:rFonts w:ascii="Cambria" w:hAnsi="Cambria" w:asciiTheme="majorHAnsi" w:hAnsiTheme="majorHAnsi"/>
                <w:sz w:val="20"/>
              </w:rPr>
            </w:pPr>
            <w:r>
              <w:rPr>
                <w:rFonts w:ascii="Cambria" w:hAnsi="Cambria" w:asciiTheme="majorHAnsi" w:hAnsiTheme="majorHAnsi"/>
                <w:sz w:val="20"/>
              </w:rPr>
              <w:t>Elèves de 3 à 17 ans</w:t>
            </w:r>
          </w:p>
        </w:tc>
      </w:tr>
      <w:tr>
        <w:trPr/>
        <w:tc>
          <w:tcPr>
            <w:tcW w:w="4501"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Sélection des publics effectuée par :</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503" w:type="dxa"/>
            <w:tcBorders>
              <w:left w:val="double" w:sz="4" w:space="0" w:color="00000A"/>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Directeurs d’école en lien avec les IEN et Chefs d’établissement</w:t>
            </w:r>
          </w:p>
        </w:tc>
        <w:tc>
          <w:tcPr>
            <w:tcW w:w="4504" w:type="dxa"/>
            <w:tcBorders>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i/>
                <w:i/>
              </w:rPr>
            </w:pPr>
            <w:r>
              <w:rPr>
                <w:rFonts w:ascii="Cambria" w:hAnsi="Cambria" w:asciiTheme="majorHAnsi" w:hAnsiTheme="majorHAnsi"/>
              </w:rPr>
              <w:t>Directeurs d’école en lien avec les IEN et Chefs d’établissement</w:t>
            </w:r>
          </w:p>
        </w:tc>
        <w:tc>
          <w:tcPr>
            <w:tcW w:w="4539" w:type="dxa"/>
            <w:tcBorders>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Collectivités territoriales en lien avec les services de l’Education nationale et les associations de proximité</w:t>
            </w:r>
          </w:p>
        </w:tc>
        <w:tc>
          <w:tcPr>
            <w:tcW w:w="4504" w:type="dxa"/>
            <w:tcBorders>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b/>
                <w:b/>
              </w:rPr>
            </w:pPr>
            <w:r>
              <w:rPr>
                <w:rFonts w:ascii="Cambria" w:hAnsi="Cambria" w:asciiTheme="majorHAnsi" w:hAnsiTheme="majorHAnsi"/>
                <w:b/>
              </w:rPr>
              <w:t>/</w:t>
            </w:r>
          </w:p>
        </w:tc>
      </w:tr>
      <w:tr>
        <w:trPr/>
        <w:tc>
          <w:tcPr>
            <w:tcW w:w="4501"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p>
            <w:pPr>
              <w:pStyle w:val="Normal"/>
              <w:spacing w:lineRule="auto" w:line="240" w:before="0" w:after="0"/>
              <w:jc w:val="center"/>
              <w:rPr>
                <w:rFonts w:ascii="Cambria" w:hAnsi="Cambria" w:asciiTheme="majorHAnsi" w:hAnsiTheme="majorHAnsi"/>
                <w:b/>
                <w:b/>
                <w:i/>
                <w:i/>
                <w:sz w:val="28"/>
              </w:rPr>
            </w:pPr>
            <w:r>
              <w:rPr>
                <w:rFonts w:ascii="Cambria" w:hAnsi="Cambria" w:asciiTheme="majorHAnsi" w:hAnsiTheme="majorHAnsi"/>
                <w:b/>
                <w:i/>
                <w:sz w:val="28"/>
              </w:rPr>
              <w:t>Durée de l’accueil</w:t>
            </w:r>
          </w:p>
          <w:p>
            <w:pPr>
              <w:pStyle w:val="Normal"/>
              <w:spacing w:lineRule="auto" w:line="240" w:before="0" w:after="0"/>
              <w:jc w:val="center"/>
              <w:rPr>
                <w:rFonts w:ascii="Cambria" w:hAnsi="Cambria" w:asciiTheme="majorHAnsi" w:hAnsiTheme="majorHAnsi"/>
                <w:b/>
                <w:b/>
                <w:i/>
                <w:i/>
                <w:sz w:val="28"/>
              </w:rPr>
            </w:pPr>
            <w:r>
              <w:rPr>
                <w:rFonts w:asciiTheme="majorHAnsi" w:hAnsiTheme="majorHAnsi" w:ascii="Cambria" w:hAnsi="Cambria"/>
                <w:b/>
                <w:i/>
                <w:sz w:val="28"/>
              </w:rPr>
            </w:r>
          </w:p>
        </w:tc>
        <w:tc>
          <w:tcPr>
            <w:tcW w:w="4503"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Congé d’été, du 4 juillet au 31 août 2020.</w:t>
            </w:r>
          </w:p>
        </w:tc>
        <w:tc>
          <w:tcPr>
            <w:tcW w:w="4504" w:type="dxa"/>
            <w:tcBorders>
              <w:left w:val="double" w:sz="4" w:space="0" w:color="00000A"/>
              <w:right w:val="double" w:sz="4" w:space="0" w:color="00000A"/>
              <w:insideV w:val="double" w:sz="4" w:space="0" w:color="00000A"/>
            </w:tcBorders>
            <w:shd w:color="auto" w:fill="FFFFFF" w:themeFill="background1" w:val="clear"/>
            <w:tcMar>
              <w:left w:w="73" w:type="dxa"/>
            </w:tcMar>
            <w:vAlign w:val="center"/>
          </w:tcPr>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Congé d’été, du 4 juillet au 31 août 2020.</w:t>
            </w:r>
          </w:p>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2 à 4 jours sous forme itinérante (camp sous tente), 5 à 14 jours dans des locaux.</w:t>
            </w:r>
          </w:p>
        </w:tc>
        <w:tc>
          <w:tcPr>
            <w:tcW w:w="4539"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i/>
                <w:i/>
                <w:sz w:val="20"/>
              </w:rPr>
            </w:pPr>
            <w:r>
              <w:rPr>
                <w:rFonts w:asciiTheme="majorHAnsi" w:hAnsiTheme="majorHAnsi" w:ascii="Cambria" w:hAnsi="Cambria"/>
                <w:i/>
                <w:sz w:val="20"/>
              </w:rPr>
            </w:r>
          </w:p>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Congé d’été, du 4 juillet au 31 août 2020.</w:t>
            </w:r>
          </w:p>
          <w:p>
            <w:pPr>
              <w:pStyle w:val="Normal"/>
              <w:spacing w:lineRule="auto" w:line="240" w:before="0" w:after="0"/>
              <w:jc w:val="center"/>
              <w:rPr>
                <w:rFonts w:ascii="Cambria" w:hAnsi="Cambria" w:asciiTheme="majorHAnsi" w:hAnsiTheme="majorHAnsi"/>
                <w:i/>
                <w:i/>
                <w:sz w:val="20"/>
              </w:rPr>
            </w:pPr>
            <w:r>
              <w:rPr>
                <w:rFonts w:asciiTheme="majorHAnsi" w:hAnsiTheme="majorHAnsi" w:ascii="Cambria" w:hAnsi="Cambria"/>
                <w:i/>
                <w:sz w:val="20"/>
              </w:rPr>
            </w:r>
          </w:p>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 xml:space="preserve">Le séjour doit être organisé sur le territoire national pour une durée minimale de 5 jours ouvrés. </w:t>
            </w:r>
          </w:p>
          <w:p>
            <w:pPr>
              <w:pStyle w:val="Normal"/>
              <w:spacing w:lineRule="auto" w:line="240" w:before="0" w:after="0"/>
              <w:jc w:val="center"/>
              <w:rPr>
                <w:rFonts w:ascii="Cambria" w:hAnsi="Cambria" w:asciiTheme="majorHAnsi" w:hAnsiTheme="majorHAnsi"/>
                <w:i/>
                <w:i/>
                <w:sz w:val="20"/>
              </w:rPr>
            </w:pPr>
            <w:r>
              <w:rPr>
                <w:rFonts w:asciiTheme="majorHAnsi" w:hAnsiTheme="majorHAnsi" w:ascii="Cambria" w:hAnsi="Cambria"/>
                <w:i/>
                <w:sz w:val="20"/>
              </w:rPr>
            </w:r>
          </w:p>
        </w:tc>
        <w:tc>
          <w:tcPr>
            <w:tcW w:w="4504" w:type="dxa"/>
            <w:tcBorders>
              <w:left w:val="single" w:sz="18" w:space="0" w:color="000001"/>
              <w:right w:val="single" w:sz="18" w:space="0" w:color="000001"/>
              <w:insideV w:val="single" w:sz="18" w:space="0" w:color="000001"/>
            </w:tcBorders>
            <w:shd w:color="auto" w:fill="FFFFFF" w:themeFill="background1" w:val="clear"/>
            <w:tcMar>
              <w:left w:w="57" w:type="dxa"/>
            </w:tcMar>
            <w:vAlign w:val="center"/>
          </w:tcPr>
          <w:p>
            <w:pPr>
              <w:pStyle w:val="Normal"/>
              <w:spacing w:lineRule="auto" w:line="240" w:before="0" w:after="0"/>
              <w:jc w:val="center"/>
              <w:rPr>
                <w:rFonts w:ascii="Cambria" w:hAnsi="Cambria" w:asciiTheme="majorHAnsi" w:hAnsiTheme="majorHAnsi"/>
                <w:i/>
                <w:i/>
                <w:sz w:val="20"/>
              </w:rPr>
            </w:pPr>
            <w:r>
              <w:rPr>
                <w:rFonts w:ascii="Cambria" w:hAnsi="Cambria" w:asciiTheme="majorHAnsi" w:hAnsiTheme="majorHAnsi"/>
                <w:i/>
                <w:sz w:val="20"/>
              </w:rPr>
              <w:t>Congés d’été, pour permettre à un maximum d’enfants de fréquenter les accueils collectifs de mineurs.</w:t>
            </w:r>
          </w:p>
        </w:tc>
      </w:tr>
      <w:tr>
        <w:trPr/>
        <w:tc>
          <w:tcPr>
            <w:tcW w:w="4501"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spacing w:lineRule="auto" w:line="240" w:before="0" w:after="0"/>
              <w:jc w:val="center"/>
              <w:rPr>
                <w:rFonts w:ascii="Cambria" w:hAnsi="Cambria" w:asciiTheme="majorHAnsi" w:hAnsiTheme="majorHAnsi"/>
                <w:b/>
                <w:b/>
                <w:sz w:val="24"/>
                <w:szCs w:val="24"/>
              </w:rPr>
            </w:pPr>
            <w:r>
              <w:rPr>
                <w:rFonts w:ascii="Cambria" w:hAnsi="Cambria" w:asciiTheme="majorHAnsi" w:hAnsiTheme="majorHAnsi"/>
                <w:b/>
                <w:sz w:val="24"/>
                <w:szCs w:val="24"/>
              </w:rPr>
              <w:t>Cahier des charges</w:t>
            </w:r>
          </w:p>
          <w:p>
            <w:pPr>
              <w:pStyle w:val="Normal"/>
              <w:spacing w:lineRule="auto" w:line="240" w:before="0" w:after="0"/>
              <w:jc w:val="center"/>
              <w:rPr>
                <w:rFonts w:ascii="Cambria" w:hAnsi="Cambria" w:asciiTheme="majorHAnsi" w:hAnsiTheme="majorHAnsi"/>
                <w:b/>
                <w:b/>
                <w:sz w:val="24"/>
                <w:szCs w:val="24"/>
              </w:rPr>
            </w:pPr>
            <w:r>
              <w:rPr>
                <w:rFonts w:asciiTheme="majorHAnsi" w:hAnsiTheme="majorHAnsi" w:ascii="Cambria" w:hAnsi="Cambria"/>
                <w:b/>
                <w:sz w:val="24"/>
                <w:szCs w:val="24"/>
              </w:rPr>
            </w:r>
          </w:p>
        </w:tc>
        <w:tc>
          <w:tcPr>
            <w:tcW w:w="4503" w:type="dxa"/>
            <w:tcBorders>
              <w:left w:val="double" w:sz="4" w:space="0" w:color="00000A"/>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b/>
                <w:b/>
                <w:sz w:val="24"/>
                <w:szCs w:val="24"/>
              </w:rPr>
            </w:pPr>
            <w:r>
              <w:rPr>
                <w:rFonts w:ascii="Cambria" w:hAnsi="Cambria" w:asciiTheme="majorHAnsi" w:hAnsiTheme="majorHAnsi"/>
                <w:b/>
                <w:sz w:val="24"/>
                <w:szCs w:val="24"/>
              </w:rPr>
              <w:t>ANNEXE 5 - Appel à projet école ouverte</w:t>
            </w:r>
          </w:p>
        </w:tc>
        <w:tc>
          <w:tcPr>
            <w:tcW w:w="4504" w:type="dxa"/>
            <w:tcBorders>
              <w:left w:val="double" w:sz="4" w:space="0" w:color="00000A"/>
              <w:right w:val="double" w:sz="4" w:space="0" w:color="00000A"/>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b/>
                <w:b/>
                <w:sz w:val="24"/>
                <w:szCs w:val="24"/>
              </w:rPr>
            </w:pPr>
            <w:r>
              <w:rPr>
                <w:rFonts w:ascii="Cambria" w:hAnsi="Cambria" w:asciiTheme="majorHAnsi" w:hAnsiTheme="majorHAnsi"/>
                <w:b/>
                <w:sz w:val="24"/>
                <w:szCs w:val="24"/>
              </w:rPr>
              <w:t>ANNEXE 4 : Cahier des charges École ouverte buissonnière</w:t>
            </w:r>
          </w:p>
        </w:tc>
        <w:tc>
          <w:tcPr>
            <w:tcW w:w="4539" w:type="dxa"/>
            <w:tcBorders>
              <w:left w:val="double" w:sz="4" w:space="0" w:color="00000A"/>
            </w:tcBorders>
            <w:shd w:color="auto" w:fill="F2DBDB" w:themeFill="accent2" w:themeFillTint="33" w:val="clear"/>
            <w:tcMar>
              <w:left w:w="63" w:type="dxa"/>
            </w:tcMar>
            <w:vAlign w:val="center"/>
          </w:tcPr>
          <w:p>
            <w:pPr>
              <w:pStyle w:val="Normal"/>
              <w:spacing w:lineRule="auto" w:line="240" w:before="0" w:after="0"/>
              <w:jc w:val="center"/>
              <w:rPr>
                <w:rFonts w:ascii="Cambria" w:hAnsi="Cambria" w:asciiTheme="majorHAnsi" w:hAnsiTheme="majorHAnsi"/>
                <w:b/>
                <w:b/>
                <w:sz w:val="24"/>
                <w:szCs w:val="24"/>
              </w:rPr>
            </w:pPr>
            <w:r>
              <w:rPr>
                <w:rFonts w:ascii="Cambria" w:hAnsi="Cambria" w:asciiTheme="majorHAnsi" w:hAnsiTheme="majorHAnsi"/>
                <w:b/>
                <w:sz w:val="24"/>
                <w:szCs w:val="24"/>
              </w:rPr>
              <w:t>ANNEXE 1 : Cahier des charges Colos apprenantes</w:t>
            </w:r>
          </w:p>
        </w:tc>
        <w:tc>
          <w:tcPr>
            <w:tcW w:w="4504" w:type="dxa"/>
            <w:tcBorders>
              <w:left w:val="single" w:sz="18" w:space="0" w:color="000001"/>
              <w:right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b/>
                <w:b/>
                <w:sz w:val="24"/>
                <w:szCs w:val="24"/>
              </w:rPr>
            </w:pPr>
            <w:r>
              <w:rPr>
                <w:rFonts w:ascii="Cambria" w:hAnsi="Cambria" w:asciiTheme="majorHAnsi" w:hAnsiTheme="majorHAnsi"/>
                <w:b/>
                <w:sz w:val="24"/>
                <w:szCs w:val="24"/>
              </w:rPr>
              <w:t>ANNEXE 3 - aide exceptionnelle ACM</w:t>
            </w:r>
          </w:p>
        </w:tc>
      </w:tr>
      <w:tr>
        <w:trPr/>
        <w:tc>
          <w:tcPr>
            <w:tcW w:w="4501" w:type="dxa"/>
            <w:tcBorders>
              <w:top w:val="single" w:sz="2" w:space="0" w:color="000001"/>
              <w:left w:val="single" w:sz="18" w:space="0" w:color="000001"/>
              <w:bottom w:val="single" w:sz="2" w:space="0" w:color="000001"/>
              <w:right w:val="double" w:sz="4" w:space="0" w:color="00000A"/>
              <w:insideH w:val="single" w:sz="2"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Financement</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503"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L’engagement des dépenses est assuré soit par le DASEN, soit par une EPLE, sur le fondement de l’article L. 421-21 du code de l’éducation</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ListParagraph"/>
              <w:numPr>
                <w:ilvl w:val="0"/>
                <w:numId w:val="1"/>
              </w:numPr>
              <w:spacing w:lineRule="auto" w:line="240" w:before="0" w:after="0"/>
              <w:contextualSpacing/>
              <w:jc w:val="center"/>
              <w:rPr>
                <w:rFonts w:ascii="Cambria" w:hAnsi="Cambria" w:asciiTheme="majorHAnsi" w:hAnsiTheme="majorHAnsi"/>
                <w:sz w:val="20"/>
                <w:szCs w:val="20"/>
              </w:rPr>
            </w:pPr>
            <w:r>
              <w:rPr>
                <w:rFonts w:ascii="Cambria" w:hAnsi="Cambria" w:asciiTheme="majorHAnsi" w:hAnsiTheme="majorHAnsi"/>
                <w:sz w:val="20"/>
                <w:szCs w:val="20"/>
              </w:rPr>
              <w:t>Programme 230 : le Ministère de l’EN</w:t>
            </w:r>
          </w:p>
          <w:p>
            <w:pPr>
              <w:pStyle w:val="ListParagraph"/>
              <w:numPr>
                <w:ilvl w:val="0"/>
                <w:numId w:val="1"/>
              </w:numPr>
              <w:spacing w:lineRule="auto" w:line="240" w:before="0" w:after="0"/>
              <w:contextualSpacing/>
              <w:jc w:val="center"/>
              <w:rPr>
                <w:rFonts w:ascii="Cambria" w:hAnsi="Cambria" w:asciiTheme="majorHAnsi" w:hAnsiTheme="majorHAnsi"/>
                <w:sz w:val="20"/>
                <w:szCs w:val="20"/>
              </w:rPr>
            </w:pPr>
            <w:r>
              <w:rPr>
                <w:rFonts w:ascii="Cambria" w:hAnsi="Cambria" w:asciiTheme="majorHAnsi" w:hAnsiTheme="majorHAnsi"/>
                <w:sz w:val="20"/>
                <w:szCs w:val="20"/>
              </w:rPr>
              <w:t>Programme 147 : QPV</w:t>
            </w:r>
          </w:p>
          <w:p>
            <w:pPr>
              <w:pStyle w:val="ListParagraph"/>
              <w:numPr>
                <w:ilvl w:val="0"/>
                <w:numId w:val="1"/>
              </w:numPr>
              <w:spacing w:lineRule="auto" w:line="240" w:before="0" w:after="0"/>
              <w:contextualSpacing/>
              <w:jc w:val="center"/>
              <w:rPr>
                <w:rFonts w:ascii="Cambria" w:hAnsi="Cambria" w:asciiTheme="majorHAnsi" w:hAnsiTheme="majorHAnsi"/>
                <w:sz w:val="20"/>
                <w:szCs w:val="20"/>
              </w:rPr>
            </w:pPr>
            <w:r>
              <w:rPr>
                <w:rFonts w:ascii="Cambria" w:hAnsi="Cambria" w:asciiTheme="majorHAnsi" w:hAnsiTheme="majorHAnsi"/>
                <w:sz w:val="20"/>
                <w:szCs w:val="20"/>
              </w:rPr>
              <w:t>Programme 112 : territoires ruraux</w:t>
            </w:r>
          </w:p>
          <w:p>
            <w:pPr>
              <w:pStyle w:val="ListParagraph"/>
              <w:numPr>
                <w:ilvl w:val="0"/>
                <w:numId w:val="1"/>
              </w:numPr>
              <w:spacing w:lineRule="auto" w:line="240" w:before="0" w:after="0"/>
              <w:contextualSpacing/>
              <w:jc w:val="center"/>
              <w:rPr>
                <w:rFonts w:ascii="Cambria" w:hAnsi="Cambria" w:asciiTheme="majorHAnsi" w:hAnsiTheme="majorHAnsi"/>
                <w:sz w:val="20"/>
                <w:szCs w:val="20"/>
              </w:rPr>
            </w:pPr>
            <w:r>
              <w:rPr>
                <w:rFonts w:ascii="Cambria" w:hAnsi="Cambria" w:asciiTheme="majorHAnsi" w:hAnsiTheme="majorHAnsi"/>
                <w:sz w:val="20"/>
                <w:szCs w:val="20"/>
              </w:rPr>
              <w:t>Participation des collectivités et organismes publics</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 xml:space="preserve">Les moyens sont automatiquement attribués sur la base d’une semaine d’ouverture </w:t>
            </w:r>
            <w:r>
              <w:rPr>
                <w:rFonts w:ascii="Cambria" w:hAnsi="Cambria" w:asciiTheme="majorHAnsi" w:hAnsiTheme="majorHAnsi"/>
                <w:i/>
                <w:sz w:val="20"/>
                <w:szCs w:val="20"/>
              </w:rPr>
              <w:t>(cf cahier des charges)</w:t>
            </w:r>
            <w:r>
              <w:rPr>
                <w:rFonts w:ascii="Cambria" w:hAnsi="Cambria" w:asciiTheme="majorHAnsi" w:hAnsiTheme="majorHAnsi"/>
                <w:sz w:val="20"/>
                <w:szCs w:val="20"/>
              </w:rPr>
              <w:t>. Ces moyens sont cumulables par nature de projet ou par groupe classe de 30 élèves.</w:t>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D’autres ressources financières peuvent être mobilisées et sont cumulables (exemple du conseil régional Île-de-France avec son offre de service « Campus d’été »).</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tc>
        <w:tc>
          <w:tcPr>
            <w:tcW w:w="4504" w:type="dxa"/>
            <w:tcBorders>
              <w:left w:val="double" w:sz="4" w:space="0" w:color="00000A"/>
              <w:right w:val="double" w:sz="4" w:space="0" w:color="00000A"/>
              <w:insideV w:val="double" w:sz="4" w:space="0" w:color="00000A"/>
            </w:tcBorders>
            <w:shd w:color="auto" w:fill="FFFFFF" w:themeFill="background1" w:val="clear"/>
            <w:tcMar>
              <w:left w:w="73" w:type="dxa"/>
            </w:tcMar>
            <w:vAlign w:val="center"/>
          </w:tcPr>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Les moyens sont automatiquement attribués sur la base d’une semaine d’ouverture :</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- 250 euros de prime de responsabilité</w:t>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- 2 625 euros pour la rémunération des intervenants pour les activités réalisées devant élèves</w:t>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- 1 500 euros pour les frais de fonctionnement</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Ces moyens sont cumulables par nature de projet ou par groupe classe de 30 élèves</w:t>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 xml:space="preserve">(les projets inférieurs au nombre de 30 élèves pourront être retenus). D’autres ressources financières peuvent être mobilisées et sont cumulables (exemple du conseil régional Île-de-France avec son offre de service « Campus d’été »). </w:t>
            </w:r>
            <w:r>
              <w:rPr>
                <w:rFonts w:cs="Arial" w:ascii="Cambria" w:hAnsi="Cambria" w:asciiTheme="majorHAnsi" w:hAnsiTheme="majorHAnsi"/>
                <w:sz w:val="20"/>
                <w:szCs w:val="20"/>
              </w:rPr>
              <w:t>Le financement est inclus dans celui des EO, correspondant à 80€ par nuitée et par élève.</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tc>
        <w:tc>
          <w:tcPr>
            <w:tcW w:w="4539" w:type="dxa"/>
            <w:tcBorders>
              <w:left w:val="double" w:sz="4" w:space="0" w:color="00000A"/>
            </w:tcBorders>
            <w:shd w:color="auto" w:fill="FFFFFF" w:themeFill="background1" w:val="clear"/>
            <w:tcMar>
              <w:left w:w="63" w:type="dxa"/>
            </w:tcMar>
            <w:vAlign w:val="center"/>
          </w:tcPr>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L’aide de l’Etat peur atteindre 80% du coût du séjour (plafonnée à 400 euros par mineur et par semaine), la collectivité assurant la prise en charge de 20% minimum avec possibilité de participation symbolique des familles.</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Pour les associations d’Education Populaire, sélectionnées par le Préfet, l’aide pourra atteindre 100%.</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La prise en charge par l’Etat concerne uniquement le jeune identifiés et inscrits par les collectivités et en lien avec les IA-DASEN. Sinon, les aides de droit commun pourront être mobilisées.</w:t>
            </w:r>
          </w:p>
        </w:tc>
        <w:tc>
          <w:tcPr>
            <w:tcW w:w="4504" w:type="dxa"/>
            <w:tcBorders>
              <w:left w:val="single" w:sz="18" w:space="0" w:color="000001"/>
              <w:right w:val="single" w:sz="18" w:space="0" w:color="000001"/>
              <w:insideV w:val="single" w:sz="18" w:space="0" w:color="000001"/>
            </w:tcBorders>
            <w:shd w:color="auto" w:fill="FFFFFF" w:themeFill="background1" w:val="clear"/>
            <w:tcMar>
              <w:left w:w="57" w:type="dxa"/>
            </w:tcMar>
            <w:vAlign w:val="center"/>
          </w:tcPr>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L’Etat peut attribuer une aide exceptionnelle au fonctionnement de tout accueil de loisirs sans hébergement fonctionnant du 4 juillet au 31 août 2020</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Le montant de l’aide est fixé par le DDCS au regard des crédits disponibles et des éléments fournis par l’organisateur sur cette présente fiche</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before="0" w:after="0"/>
              <w:jc w:val="center"/>
              <w:rPr>
                <w:rFonts w:ascii="Cambria" w:hAnsi="Cambria" w:asciiTheme="majorHAnsi" w:hAnsiTheme="majorHAnsi"/>
                <w:sz w:val="20"/>
                <w:szCs w:val="20"/>
              </w:rPr>
            </w:pPr>
            <w:r>
              <w:rPr>
                <w:rFonts w:ascii="Cambria" w:hAnsi="Cambria" w:asciiTheme="majorHAnsi" w:hAnsiTheme="majorHAnsi"/>
                <w:sz w:val="20"/>
                <w:szCs w:val="20"/>
              </w:rPr>
              <w:t>Le montant de l’aide attribuée, le cas échéant, est dépendante des besoins exprimés par l’organisateur, du surcoût estimé du fonctionnement de l’accueil ou des accueils lié au contexte de crise sanitaire et à ses conséquences socio-économiques pour le secteur socioculturel.</w:t>
            </w:r>
          </w:p>
          <w:p>
            <w:pPr>
              <w:pStyle w:val="Normal"/>
              <w:spacing w:lineRule="auto" w:line="240" w:before="0" w:after="0"/>
              <w:jc w:val="center"/>
              <w:rPr>
                <w:rFonts w:ascii="Cambria" w:hAnsi="Cambria" w:asciiTheme="majorHAnsi" w:hAnsiTheme="majorHAnsi"/>
                <w:sz w:val="20"/>
                <w:szCs w:val="20"/>
              </w:rPr>
            </w:pPr>
            <w:r>
              <w:rPr>
                <w:rFonts w:asciiTheme="majorHAnsi" w:hAnsiTheme="majorHAnsi" w:ascii="Cambria" w:hAnsi="Cambria"/>
                <w:sz w:val="20"/>
                <w:szCs w:val="20"/>
              </w:rPr>
            </w:r>
          </w:p>
        </w:tc>
      </w:tr>
      <w:tr>
        <w:trPr>
          <w:trHeight w:val="76" w:hRule="atLeast"/>
        </w:trPr>
        <w:tc>
          <w:tcPr>
            <w:tcW w:w="4501" w:type="dxa"/>
            <w:tcBorders>
              <w:top w:val="single" w:sz="2" w:space="0" w:color="000001"/>
              <w:left w:val="single" w:sz="18" w:space="0" w:color="000001"/>
              <w:bottom w:val="single" w:sz="18" w:space="0" w:color="000001"/>
              <w:right w:val="double" w:sz="4" w:space="0" w:color="00000A"/>
              <w:insideH w:val="single" w:sz="18" w:space="0" w:color="000001"/>
              <w:insideV w:val="double" w:sz="4" w:space="0" w:color="00000A"/>
            </w:tcBorders>
            <w:shd w:color="auto" w:fill="FDE9D9" w:themeFill="accent6" w:themeFillTint="33" w:val="clear"/>
            <w:tcMar>
              <w:left w:w="39" w:type="dxa"/>
            </w:tcMar>
            <w:vAlign w:val="center"/>
          </w:tcPr>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p>
            <w:pPr>
              <w:pStyle w:val="Normal"/>
              <w:spacing w:lineRule="auto" w:line="240" w:before="0" w:after="0"/>
              <w:jc w:val="center"/>
              <w:rPr>
                <w:rFonts w:ascii="Cambria" w:hAnsi="Cambria" w:asciiTheme="majorHAnsi" w:hAnsiTheme="majorHAnsi"/>
                <w:b/>
                <w:b/>
                <w:sz w:val="28"/>
              </w:rPr>
            </w:pPr>
            <w:r>
              <w:rPr>
                <w:rFonts w:ascii="Cambria" w:hAnsi="Cambria" w:asciiTheme="majorHAnsi" w:hAnsiTheme="majorHAnsi"/>
                <w:b/>
                <w:sz w:val="28"/>
              </w:rPr>
              <w:t>Modalités de dépôts</w:t>
            </w:r>
          </w:p>
          <w:p>
            <w:pPr>
              <w:pStyle w:val="Normal"/>
              <w:spacing w:lineRule="auto" w:line="240" w:before="0" w:after="0"/>
              <w:jc w:val="center"/>
              <w:rPr>
                <w:rFonts w:ascii="Cambria" w:hAnsi="Cambria" w:asciiTheme="majorHAnsi" w:hAnsiTheme="majorHAnsi"/>
                <w:b/>
                <w:b/>
                <w:sz w:val="28"/>
              </w:rPr>
            </w:pPr>
            <w:r>
              <w:rPr>
                <w:rFonts w:asciiTheme="majorHAnsi" w:hAnsiTheme="majorHAnsi" w:ascii="Cambria" w:hAnsi="Cambria"/>
                <w:b/>
                <w:sz w:val="28"/>
              </w:rPr>
            </w:r>
          </w:p>
        </w:tc>
        <w:tc>
          <w:tcPr>
            <w:tcW w:w="4503" w:type="dxa"/>
            <w:tcBorders>
              <w:top w:val="single" w:sz="18" w:space="0" w:color="000001"/>
              <w:left w:val="double" w:sz="4" w:space="0" w:color="00000A"/>
              <w:bottom w:val="single" w:sz="18" w:space="0" w:color="000001"/>
              <w:insideH w:val="single" w:sz="18" w:space="0" w:color="000001"/>
            </w:tcBorders>
            <w:shd w:color="auto" w:fill="C6D9F1" w:themeFill="text2" w:themeFillTint="33" w:val="clear"/>
            <w:tcMar>
              <w:left w:w="63" w:type="dxa"/>
            </w:tcMar>
            <w:vAlign w:val="center"/>
          </w:tcPr>
          <w:p>
            <w:pPr>
              <w:pStyle w:val="Normal"/>
              <w:spacing w:lineRule="auto" w:line="240" w:before="0" w:after="0"/>
              <w:jc w:val="center"/>
              <w:rPr>
                <w:rFonts w:ascii="Cambria" w:hAnsi="Cambria" w:asciiTheme="majorHAnsi" w:hAnsiTheme="majorHAnsi"/>
                <w:b/>
                <w:b/>
                <w:i/>
                <w:i/>
              </w:rPr>
            </w:pPr>
            <w:r>
              <w:rPr>
                <w:rFonts w:ascii="Cambria" w:hAnsi="Cambria" w:asciiTheme="majorHAnsi" w:hAnsiTheme="majorHAnsi"/>
              </w:rPr>
              <w:t xml:space="preserve">Appel à projets à compléter par tous les établissements scolaires volontaires </w:t>
            </w:r>
            <w:r>
              <w:rPr>
                <w:rFonts w:ascii="Cambria" w:hAnsi="Cambria" w:asciiTheme="majorHAnsi" w:hAnsiTheme="majorHAnsi"/>
                <w:b/>
                <w:color w:val="FF0000"/>
              </w:rPr>
              <w:t xml:space="preserve">avant le 24 juin 2020 : </w:t>
            </w:r>
            <w:r>
              <w:rPr>
                <w:rFonts w:ascii="Cambria" w:hAnsi="Cambria" w:asciiTheme="majorHAnsi" w:hAnsiTheme="majorHAnsi"/>
                <w:b/>
                <w:i/>
              </w:rPr>
              <w:t xml:space="preserve"> </w:t>
            </w:r>
          </w:p>
          <w:p>
            <w:pPr>
              <w:pStyle w:val="Normal"/>
              <w:spacing w:lineRule="auto" w:line="240" w:before="0" w:after="0"/>
              <w:jc w:val="center"/>
              <w:rPr>
                <w:rFonts w:ascii="Cambria" w:hAnsi="Cambria" w:asciiTheme="majorHAnsi" w:hAnsiTheme="majorHAnsi"/>
                <w:b/>
                <w:b/>
                <w:i/>
                <w:i/>
              </w:rPr>
            </w:pPr>
            <w:r>
              <w:rPr>
                <w:rFonts w:ascii="Cambria" w:hAnsi="Cambria" w:asciiTheme="majorHAnsi" w:hAnsiTheme="majorHAnsi"/>
                <w:b/>
                <w:i/>
              </w:rPr>
              <w:t>bit.ly/EcoleOuverte2020</w:t>
            </w:r>
          </w:p>
          <w:p>
            <w:pPr>
              <w:pStyle w:val="Normal"/>
              <w:spacing w:lineRule="auto" w:line="240" w:before="0" w:after="0"/>
              <w:jc w:val="center"/>
              <w:rPr>
                <w:rFonts w:ascii="Cambria" w:hAnsi="Cambria" w:asciiTheme="majorHAnsi" w:hAnsiTheme="majorHAnsi"/>
                <w:b/>
                <w:b/>
                <w:i/>
                <w:i/>
              </w:rPr>
            </w:pPr>
            <w:r>
              <w:rPr>
                <w:rFonts w:asciiTheme="majorHAnsi" w:hAnsiTheme="majorHAnsi" w:ascii="Cambria" w:hAnsi="Cambria"/>
                <w:b/>
                <w:i/>
              </w:rPr>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 xml:space="preserve">Fiche de synthèse académique à remettre à la DGESCO </w:t>
            </w:r>
            <w:r>
              <w:rPr>
                <w:rFonts w:ascii="Cambria" w:hAnsi="Cambria" w:asciiTheme="majorHAnsi" w:hAnsiTheme="majorHAnsi"/>
                <w:b/>
                <w:color w:val="FF0000"/>
              </w:rPr>
              <w:t>avant le 4 juillet 2020</w:t>
            </w:r>
            <w:r>
              <w:rPr>
                <w:rFonts w:ascii="Cambria" w:hAnsi="Cambria" w:asciiTheme="majorHAnsi" w:hAnsiTheme="majorHAnsi"/>
              </w:rPr>
              <w:t> :</w:t>
            </w:r>
          </w:p>
          <w:p>
            <w:pPr>
              <w:pStyle w:val="Normal"/>
              <w:spacing w:lineRule="auto" w:line="240" w:before="0" w:after="0"/>
              <w:jc w:val="center"/>
              <w:rPr>
                <w:rFonts w:ascii="Cambria" w:hAnsi="Cambria" w:asciiTheme="majorHAnsi" w:hAnsiTheme="majorHAnsi"/>
                <w:b/>
                <w:b/>
                <w:i/>
                <w:i/>
              </w:rPr>
            </w:pPr>
            <w:r>
              <w:rPr>
                <w:rFonts w:ascii="Cambria" w:hAnsi="Cambria" w:asciiTheme="majorHAnsi" w:hAnsiTheme="majorHAnsi"/>
                <w:b/>
                <w:i/>
              </w:rPr>
              <w:t>Lucie.roy@education.gouv.fr</w:t>
            </w:r>
          </w:p>
        </w:tc>
        <w:tc>
          <w:tcPr>
            <w:tcW w:w="4504" w:type="dxa"/>
            <w:tcBorders>
              <w:top w:val="single" w:sz="18" w:space="0" w:color="000001"/>
              <w:left w:val="double" w:sz="4" w:space="0" w:color="00000A"/>
              <w:bottom w:val="single" w:sz="18" w:space="0" w:color="000001"/>
              <w:right w:val="double" w:sz="4" w:space="0" w:color="00000A"/>
              <w:insideH w:val="single" w:sz="18" w:space="0" w:color="000001"/>
              <w:insideV w:val="double" w:sz="4" w:space="0" w:color="00000A"/>
            </w:tcBorders>
            <w:shd w:color="auto" w:fill="C6D9F1" w:themeFill="text2" w:themeFillTint="33" w:val="clear"/>
            <w:tcMar>
              <w:left w:w="73" w:type="dxa"/>
            </w:tcMar>
            <w:vAlign w:val="center"/>
          </w:tcPr>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p>
            <w:pPr>
              <w:pStyle w:val="Normal"/>
              <w:spacing w:lineRule="auto" w:line="240" w:before="0" w:after="0"/>
              <w:jc w:val="center"/>
              <w:rPr>
                <w:rFonts w:ascii="Cambria" w:hAnsi="Cambria" w:asciiTheme="majorHAnsi" w:hAnsiTheme="majorHAnsi"/>
                <w:b/>
                <w:b/>
                <w:i/>
                <w:i/>
              </w:rPr>
            </w:pPr>
            <w:r>
              <w:rPr>
                <w:rFonts w:ascii="Cambria" w:hAnsi="Cambria" w:asciiTheme="majorHAnsi" w:hAnsiTheme="majorHAnsi"/>
              </w:rPr>
              <w:t xml:space="preserve">Appel à projets à compléter par tous les établissements scolaires volontaires </w:t>
            </w:r>
            <w:r>
              <w:rPr>
                <w:rFonts w:ascii="Cambria" w:hAnsi="Cambria" w:asciiTheme="majorHAnsi" w:hAnsiTheme="majorHAnsi"/>
                <w:b/>
                <w:color w:val="FF0000"/>
              </w:rPr>
              <w:t xml:space="preserve">avant le 24 juin 2020 : </w:t>
            </w:r>
            <w:r>
              <w:rPr>
                <w:rFonts w:ascii="Cambria" w:hAnsi="Cambria" w:asciiTheme="majorHAnsi" w:hAnsiTheme="majorHAnsi"/>
                <w:b/>
                <w:i/>
              </w:rPr>
              <w:t xml:space="preserve"> </w:t>
            </w:r>
          </w:p>
          <w:p>
            <w:pPr>
              <w:pStyle w:val="Normal"/>
              <w:spacing w:lineRule="auto" w:line="240" w:before="0" w:after="0"/>
              <w:jc w:val="center"/>
              <w:rPr/>
            </w:pPr>
            <w:r>
              <w:rPr>
                <w:rFonts w:ascii="Cambria" w:hAnsi="Cambria" w:asciiTheme="majorHAnsi" w:hAnsiTheme="majorHAnsi"/>
                <w:b/>
                <w:i/>
              </w:rPr>
              <w:t>bit.ly/EcoleOuverte2020</w:t>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 xml:space="preserve">Fiche de synthèse académique à remettre à la DGESCO </w:t>
            </w:r>
            <w:r>
              <w:rPr>
                <w:rFonts w:ascii="Cambria" w:hAnsi="Cambria" w:asciiTheme="majorHAnsi" w:hAnsiTheme="majorHAnsi"/>
                <w:b/>
                <w:color w:val="FF0000"/>
              </w:rPr>
              <w:t>avant le 4 juillet 2020</w:t>
            </w:r>
            <w:r>
              <w:rPr>
                <w:rFonts w:ascii="Cambria" w:hAnsi="Cambria" w:asciiTheme="majorHAnsi" w:hAnsiTheme="majorHAnsi"/>
              </w:rPr>
              <w:t> :</w:t>
            </w:r>
          </w:p>
          <w:p>
            <w:pPr>
              <w:pStyle w:val="Normal"/>
              <w:spacing w:lineRule="auto" w:line="240" w:before="0" w:after="0"/>
              <w:jc w:val="center"/>
              <w:rPr/>
            </w:pPr>
            <w:hyperlink r:id="rId4">
              <w:r>
                <w:rPr>
                  <w:rStyle w:val="LienInternet"/>
                  <w:rFonts w:ascii="Cambria" w:hAnsi="Cambria" w:asciiTheme="majorHAnsi" w:hAnsiTheme="majorHAnsi"/>
                  <w:b/>
                  <w:i/>
                  <w:color w:val="00000A"/>
                  <w:u w:val="none"/>
                </w:rPr>
                <w:t>Lucie.roy@education.gouv.fr</w:t>
              </w:r>
            </w:hyperlink>
          </w:p>
        </w:tc>
        <w:tc>
          <w:tcPr>
            <w:tcW w:w="4539" w:type="dxa"/>
            <w:tcBorders>
              <w:top w:val="single" w:sz="18" w:space="0" w:color="000001"/>
              <w:left w:val="double" w:sz="4" w:space="0" w:color="00000A"/>
              <w:bottom w:val="single" w:sz="18" w:space="0" w:color="000001"/>
              <w:insideH w:val="single" w:sz="18" w:space="0" w:color="000001"/>
            </w:tcBorders>
            <w:shd w:color="auto" w:fill="F2DBDB" w:themeFill="accent2" w:themeFillTint="33" w:val="clear"/>
            <w:tcMar>
              <w:left w:w="63" w:type="dxa"/>
            </w:tcMar>
            <w:vAlign w:val="center"/>
          </w:tcPr>
          <w:p>
            <w:pPr>
              <w:pStyle w:val="Normal"/>
              <w:spacing w:lineRule="auto" w:line="240" w:before="0" w:after="0"/>
              <w:jc w:val="center"/>
              <w:rPr/>
            </w:pPr>
            <w:r>
              <w:rPr>
                <w:rFonts w:ascii="Cambria" w:hAnsi="Cambria" w:asciiTheme="majorHAnsi" w:hAnsiTheme="majorHAnsi"/>
              </w:rPr>
              <w:t xml:space="preserve">Demande de labellisation en ligne : </w:t>
            </w:r>
            <w:hyperlink r:id="rId5">
              <w:r>
                <w:rPr>
                  <w:rStyle w:val="LienInternet"/>
                  <w:rFonts w:ascii="Cambria" w:hAnsi="Cambria" w:asciiTheme="majorHAnsi" w:hAnsiTheme="majorHAnsi"/>
                  <w:b/>
                  <w:i/>
                  <w:color w:val="00000A"/>
                  <w:u w:val="none"/>
                </w:rPr>
                <w:t>https://openagenda.com/colosapprenantes</w:t>
              </w:r>
            </w:hyperlink>
          </w:p>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 xml:space="preserve">Pour information, l’appel à candidature en </w:t>
            </w:r>
            <w:r>
              <w:rPr>
                <w:rFonts w:ascii="Cambria" w:hAnsi="Cambria" w:asciiTheme="majorHAnsi" w:hAnsiTheme="majorHAnsi"/>
                <w:b/>
              </w:rPr>
              <w:t>ANNEXE 2</w:t>
            </w:r>
          </w:p>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tc>
        <w:tc>
          <w:tcPr>
            <w:tcW w:w="4504"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color="auto" w:fill="F2DBDB" w:themeFill="accent2" w:themeFillTint="33" w:val="clear"/>
            <w:tcMar>
              <w:left w:w="57" w:type="dxa"/>
            </w:tcMar>
            <w:vAlign w:val="center"/>
          </w:tcPr>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Fiche de demande (ANNEXE 3) à transmettre à la DDCS</w:t>
            </w:r>
            <w:r>
              <w:rPr>
                <w:rFonts w:ascii="Cambria" w:hAnsi="Cambria" w:asciiTheme="majorHAnsi" w:hAnsiTheme="majorHAnsi"/>
                <w:b/>
                <w:color w:val="FF0000"/>
              </w:rPr>
              <w:t xml:space="preserve"> </w:t>
            </w:r>
            <w:r>
              <w:rPr>
                <w:rFonts w:ascii="Cambria" w:hAnsi="Cambria" w:asciiTheme="majorHAnsi" w:hAnsiTheme="majorHAnsi"/>
              </w:rPr>
              <w:t xml:space="preserve">: </w:t>
            </w:r>
          </w:p>
          <w:p>
            <w:pPr>
              <w:pStyle w:val="Normal"/>
              <w:spacing w:lineRule="auto" w:line="240" w:before="0" w:after="0"/>
              <w:jc w:val="center"/>
              <w:rPr>
                <w:rFonts w:ascii="Cambria" w:hAnsi="Cambria" w:asciiTheme="majorHAnsi" w:hAnsiTheme="majorHAnsi"/>
                <w:b/>
                <w:b/>
                <w:i/>
                <w:i/>
              </w:rPr>
            </w:pPr>
            <w:bookmarkStart w:id="0" w:name="_GoBack"/>
            <w:bookmarkEnd w:id="0"/>
            <w:r>
              <w:rPr>
                <w:rFonts w:ascii="Cambria" w:hAnsi="Cambria" w:asciiTheme="majorHAnsi" w:hAnsiTheme="majorHAnsi"/>
                <w:b/>
                <w:i/>
              </w:rPr>
              <w:t>ddcs-acm@essonne.gouv.fr</w:t>
            </w:r>
          </w:p>
        </w:tc>
      </w:tr>
    </w:tbl>
    <w:p>
      <w:pPr>
        <w:pStyle w:val="Normal"/>
        <w:widowControl/>
        <w:bidi w:val="0"/>
        <w:spacing w:lineRule="auto" w:line="276" w:before="0" w:after="200"/>
        <w:jc w:val="left"/>
        <w:rPr/>
      </w:pPr>
      <w:r>
        <w:rPr/>
      </w:r>
    </w:p>
    <w:sectPr>
      <w:footerReference w:type="default" r:id="rId6"/>
      <w:type w:val="nextPage"/>
      <w:pgSz w:orient="landscape" w:w="23811"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DDCS - 09/06/2020 – 2 pages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mbria" w:hAnsi="Cambria" w:cs="Cambria"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4f3e"/>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Normal"/>
    <w:next w:val="Normal"/>
    <w:link w:val="Titre1Car"/>
    <w:autoRedefine/>
    <w:uiPriority w:val="9"/>
    <w:qFormat/>
    <w:rsid w:val="002a5c94"/>
    <w:pPr>
      <w:keepNext w:val="true"/>
      <w:keepLines/>
      <w:suppressAutoHyphens w:val="true"/>
      <w:spacing w:lineRule="auto" w:line="240" w:before="480" w:after="0"/>
      <w:ind w:left="708" w:hanging="0"/>
      <w:textAlignment w:val="baseline"/>
      <w:outlineLvl w:val="0"/>
    </w:pPr>
    <w:rPr>
      <w:rFonts w:ascii="Cambria" w:hAnsi="Cambria" w:eastAsia="" w:cs="" w:asciiTheme="majorHAnsi" w:cstheme="majorBidi" w:eastAsiaTheme="majorEastAsia" w:hAnsiTheme="majorHAnsi"/>
      <w:b/>
      <w:bCs/>
      <w:color w:val="365F91" w:themeColor="accent1" w:themeShade="bf"/>
      <w:sz w:val="32"/>
      <w:szCs w:val="2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2a5c94"/>
    <w:rPr>
      <w:rFonts w:ascii="Cambria" w:hAnsi="Cambria" w:eastAsia="" w:cs="" w:asciiTheme="majorHAnsi" w:cstheme="majorBidi" w:eastAsiaTheme="majorEastAsia" w:hAnsiTheme="majorHAnsi"/>
      <w:b/>
      <w:bCs/>
      <w:color w:val="365F91" w:themeColor="accent1" w:themeShade="bf"/>
      <w:sz w:val="32"/>
      <w:szCs w:val="28"/>
    </w:rPr>
  </w:style>
  <w:style w:type="character" w:styleId="TitreCar" w:customStyle="1">
    <w:name w:val="Titre Car"/>
    <w:basedOn w:val="DefaultParagraphFont"/>
    <w:link w:val="Titre"/>
    <w:uiPriority w:val="10"/>
    <w:qFormat/>
    <w:rsid w:val="00e0288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edebullesCar" w:customStyle="1">
    <w:name w:val="Texte de bulles Car"/>
    <w:basedOn w:val="DefaultParagraphFont"/>
    <w:link w:val="Textedebulles"/>
    <w:uiPriority w:val="99"/>
    <w:semiHidden/>
    <w:qFormat/>
    <w:rsid w:val="00e02888"/>
    <w:rPr>
      <w:rFonts w:ascii="Tahoma" w:hAnsi="Tahoma" w:cs="Tahoma"/>
      <w:sz w:val="16"/>
      <w:szCs w:val="16"/>
    </w:rPr>
  </w:style>
  <w:style w:type="character" w:styleId="LienInternet">
    <w:name w:val="Lien Internet"/>
    <w:basedOn w:val="DefaultParagraphFont"/>
    <w:uiPriority w:val="99"/>
    <w:unhideWhenUsed/>
    <w:rsid w:val="003a074c"/>
    <w:rPr>
      <w:color w:val="0000FF" w:themeColor="hyperlink"/>
      <w:u w:val="single"/>
    </w:rPr>
  </w:style>
  <w:style w:type="character" w:styleId="EntteCar" w:customStyle="1">
    <w:name w:val="En-tête Car"/>
    <w:basedOn w:val="DefaultParagraphFont"/>
    <w:link w:val="En-tte"/>
    <w:uiPriority w:val="99"/>
    <w:qFormat/>
    <w:rsid w:val="007e2e41"/>
    <w:rPr/>
  </w:style>
  <w:style w:type="character" w:styleId="PieddepageCar" w:customStyle="1">
    <w:name w:val="Pied de page Car"/>
    <w:basedOn w:val="DefaultParagraphFont"/>
    <w:link w:val="Pieddepage"/>
    <w:uiPriority w:val="99"/>
    <w:qFormat/>
    <w:rsid w:val="007e2e41"/>
    <w:rPr/>
  </w:style>
  <w:style w:type="character" w:styleId="NotedefinCar" w:customStyle="1">
    <w:name w:val="Note de fin Car"/>
    <w:basedOn w:val="DefaultParagraphFont"/>
    <w:link w:val="Notedefin"/>
    <w:uiPriority w:val="99"/>
    <w:semiHidden/>
    <w:qFormat/>
    <w:rsid w:val="004212ba"/>
    <w:rPr>
      <w:sz w:val="20"/>
      <w:szCs w:val="20"/>
    </w:rPr>
  </w:style>
  <w:style w:type="character" w:styleId="Endnotereference">
    <w:name w:val="endnote reference"/>
    <w:basedOn w:val="DefaultParagraphFont"/>
    <w:uiPriority w:val="99"/>
    <w:semiHidden/>
    <w:unhideWhenUsed/>
    <w:qFormat/>
    <w:rsid w:val="004212ba"/>
    <w:rPr>
      <w:vertAlign w:val="superscript"/>
    </w:rPr>
  </w:style>
  <w:style w:type="character" w:styleId="ListLabel1">
    <w:name w:val="ListLabel 1"/>
    <w:qFormat/>
    <w:rPr>
      <w:rFonts w:eastAsia="Calibri" w:cs=""/>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mbria" w:hAnsi="Cambria" w:cs=""/>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ambria" w:hAnsi="Cambria" w:cs=""/>
      <w:sz w:val="20"/>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next w:val="Normal"/>
    <w:link w:val="TitreCar"/>
    <w:uiPriority w:val="10"/>
    <w:qFormat/>
    <w:rsid w:val="00e02888"/>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TextedebullesCar"/>
    <w:uiPriority w:val="99"/>
    <w:semiHidden/>
    <w:unhideWhenUsed/>
    <w:qFormat/>
    <w:rsid w:val="00e02888"/>
    <w:pPr>
      <w:spacing w:lineRule="auto" w:line="240" w:before="0" w:after="0"/>
    </w:pPr>
    <w:rPr>
      <w:rFonts w:ascii="Tahoma" w:hAnsi="Tahoma" w:cs="Tahoma"/>
      <w:sz w:val="16"/>
      <w:szCs w:val="16"/>
    </w:rPr>
  </w:style>
  <w:style w:type="paragraph" w:styleId="ListParagraph">
    <w:name w:val="List Paragraph"/>
    <w:basedOn w:val="Normal"/>
    <w:uiPriority w:val="34"/>
    <w:qFormat/>
    <w:rsid w:val="00f67d33"/>
    <w:pPr>
      <w:spacing w:before="0" w:after="200"/>
      <w:ind w:left="720" w:hanging="0"/>
      <w:contextualSpacing/>
    </w:pPr>
    <w:rPr/>
  </w:style>
  <w:style w:type="paragraph" w:styleId="Entte">
    <w:name w:val="Header"/>
    <w:basedOn w:val="Normal"/>
    <w:link w:val="En-tteCar"/>
    <w:uiPriority w:val="99"/>
    <w:unhideWhenUsed/>
    <w:rsid w:val="007e2e4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e2e41"/>
    <w:pPr>
      <w:tabs>
        <w:tab w:val="center" w:pos="4536" w:leader="none"/>
        <w:tab w:val="right" w:pos="9072" w:leader="none"/>
      </w:tabs>
      <w:spacing w:lineRule="auto" w:line="240" w:before="0" w:after="0"/>
    </w:pPr>
    <w:rPr/>
  </w:style>
  <w:style w:type="paragraph" w:styleId="Endnotetext">
    <w:name w:val="endnote text"/>
    <w:basedOn w:val="Normal"/>
    <w:link w:val="NotedefinCar"/>
    <w:uiPriority w:val="99"/>
    <w:semiHidden/>
    <w:unhideWhenUsed/>
    <w:qFormat/>
    <w:rsid w:val="004212ba"/>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725f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Lucie.roy@education.gouv.fr" TargetMode="External"/><Relationship Id="rId5" Type="http://schemas.openxmlformats.org/officeDocument/2006/relationships/hyperlink" Target="https://openagenda.com/colosapprenante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03AE-60A0-48BC-BE9B-2805B15C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1116</Words>
  <Characters>6424</Characters>
  <CharactersWithSpaces>7444</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2020-06-12T14:53:01Z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